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15E4A83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586180">
        <w:rPr>
          <w:rFonts w:cs="Arial"/>
          <w:sz w:val="24"/>
          <w:szCs w:val="24"/>
        </w:rPr>
        <w:t>4</w:t>
      </w:r>
      <w:r w:rsidR="007D70A7">
        <w:rPr>
          <w:rFonts w:cs="Arial"/>
          <w:sz w:val="24"/>
          <w:szCs w:val="24"/>
        </w:rPr>
        <w:t>-</w:t>
      </w:r>
      <w:r w:rsidR="00FF4077">
        <w:rPr>
          <w:rFonts w:cs="Arial"/>
          <w:sz w:val="24"/>
          <w:szCs w:val="24"/>
        </w:rPr>
        <w:t>e</w:t>
      </w:r>
      <w:r w:rsidRPr="00207615">
        <w:rPr>
          <w:rFonts w:cs="Arial"/>
          <w:sz w:val="24"/>
          <w:szCs w:val="24"/>
        </w:rPr>
        <w:tab/>
      </w:r>
      <w:r w:rsidR="009959D0" w:rsidRPr="009959D0">
        <w:rPr>
          <w:rFonts w:cs="Arial"/>
          <w:color w:val="000000"/>
          <w:sz w:val="24"/>
          <w:szCs w:val="24"/>
        </w:rPr>
        <w:t>R4-221</w:t>
      </w:r>
      <w:r w:rsidR="005A766E">
        <w:rPr>
          <w:rFonts w:cs="Arial"/>
          <w:color w:val="000000"/>
          <w:sz w:val="24"/>
          <w:szCs w:val="24"/>
        </w:rPr>
        <w:t>4075</w:t>
      </w:r>
    </w:p>
    <w:p w14:paraId="09BB34F6" w14:textId="4C7E9407"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424DA2" w:rsidRPr="00090215">
        <w:rPr>
          <w:rFonts w:eastAsia="SimSun" w:cs="Arial"/>
          <w:sz w:val="24"/>
          <w:szCs w:val="24"/>
          <w:lang w:eastAsia="zh-CN"/>
        </w:rPr>
        <w:t>August 15 – August 26</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652875E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47162">
        <w:rPr>
          <w:rFonts w:ascii="Arial" w:hAnsi="Arial"/>
          <w:sz w:val="24"/>
          <w:lang w:val="en-US"/>
        </w:rPr>
        <w:t>9</w:t>
      </w:r>
      <w:r w:rsidR="00B12546" w:rsidRPr="00113C65">
        <w:rPr>
          <w:rFonts w:ascii="Arial" w:hAnsi="Arial"/>
          <w:sz w:val="24"/>
          <w:lang w:val="en-US"/>
        </w:rPr>
        <w:t>.</w:t>
      </w:r>
      <w:r w:rsidR="00D47162">
        <w:rPr>
          <w:rFonts w:ascii="Arial" w:hAnsi="Arial"/>
          <w:sz w:val="24"/>
          <w:lang w:val="en-US"/>
        </w:rPr>
        <w:t>1</w:t>
      </w:r>
      <w:r w:rsidR="00586180">
        <w:rPr>
          <w:rFonts w:ascii="Arial" w:hAnsi="Arial"/>
          <w:sz w:val="24"/>
          <w:lang w:val="en-US"/>
        </w:rPr>
        <w:t>8</w:t>
      </w:r>
      <w:r w:rsidR="004C1A4F">
        <w:rPr>
          <w:rFonts w:ascii="Arial" w:hAnsi="Arial"/>
          <w:sz w:val="24"/>
          <w:lang w:val="en-US"/>
        </w:rPr>
        <w:t>.3</w:t>
      </w:r>
      <w:r w:rsidR="00B12546" w:rsidRPr="00113C65">
        <w:rPr>
          <w:rFonts w:ascii="Arial" w:hAnsi="Arial"/>
          <w:sz w:val="24"/>
          <w:lang w:val="en-US"/>
        </w:rPr>
        <w:t>.</w:t>
      </w:r>
      <w:r w:rsidR="00AF7949">
        <w:rPr>
          <w:rFonts w:ascii="Arial" w:hAnsi="Arial"/>
          <w:sz w:val="24"/>
          <w:lang w:val="en-US"/>
        </w:rPr>
        <w:t>1.</w:t>
      </w:r>
      <w:r w:rsidR="00BD188B">
        <w:rPr>
          <w:rFonts w:ascii="Arial" w:hAnsi="Arial"/>
          <w:sz w:val="24"/>
          <w:lang w:val="en-US"/>
        </w:rPr>
        <w:t>5</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B28705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837C6">
        <w:rPr>
          <w:rFonts w:ascii="Arial" w:hAnsi="Arial"/>
          <w:sz w:val="24"/>
          <w:lang w:val="en-US"/>
        </w:rPr>
        <w:t>M</w:t>
      </w:r>
      <w:r w:rsidR="000424A5">
        <w:rPr>
          <w:rFonts w:ascii="Arial" w:hAnsi="Arial"/>
          <w:sz w:val="24"/>
          <w:lang w:val="en-US"/>
        </w:rPr>
        <w:t>easurement procedures</w:t>
      </w:r>
      <w:r w:rsidR="008837C6">
        <w:rPr>
          <w:rFonts w:ascii="Arial" w:hAnsi="Arial"/>
          <w:sz w:val="24"/>
          <w:lang w:val="en-US"/>
        </w:rPr>
        <w:t xml:space="preserve"> for </w:t>
      </w:r>
      <w:r w:rsidR="00586180">
        <w:rPr>
          <w:rFonts w:ascii="Arial" w:hAnsi="Arial"/>
          <w:sz w:val="24"/>
          <w:lang w:val="en-US"/>
        </w:rPr>
        <w:t>RedCap</w:t>
      </w:r>
      <w:r w:rsidR="008837C6">
        <w:rPr>
          <w:rFonts w:ascii="Arial" w:hAnsi="Arial"/>
          <w:sz w:val="24"/>
          <w:lang w:val="en-US"/>
        </w:rPr>
        <w:t xml:space="preserve">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50E98674" w14:textId="3744C17A" w:rsidR="002A0A35" w:rsidRDefault="002A0A35" w:rsidP="002A0A35">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Pr>
          <w:rFonts w:eastAsiaTheme="minorEastAsia"/>
          <w:lang w:val="en-US" w:eastAsia="zh-CN"/>
        </w:rPr>
        <w:t xml:space="preserve"> During the last RAN4 meeting, the core part of the WI was closed and most of the issues were resolved. In this contribution we discuss the impact of BWP switch on measurement requirements.</w:t>
      </w:r>
    </w:p>
    <w:p w14:paraId="50A6D88A" w14:textId="38C1A613" w:rsidR="00AC1830" w:rsidRDefault="00B551F4" w:rsidP="00AC1830">
      <w:pPr>
        <w:pStyle w:val="Heading1"/>
        <w:rPr>
          <w:lang w:eastAsia="zh-CN"/>
        </w:rPr>
      </w:pPr>
      <w:r>
        <w:rPr>
          <w:lang w:eastAsia="zh-CN"/>
        </w:rPr>
        <w:t xml:space="preserve">Impact of BWP switch on </w:t>
      </w:r>
      <w:r w:rsidR="007763FC">
        <w:rPr>
          <w:lang w:eastAsia="zh-CN"/>
        </w:rPr>
        <w:t>measurement requirements</w:t>
      </w:r>
    </w:p>
    <w:p w14:paraId="11F0009C" w14:textId="77777777" w:rsidR="000E37FB" w:rsidRDefault="008A0135" w:rsidP="00EA7301">
      <w:pPr>
        <w:rPr>
          <w:lang w:eastAsia="zh-CN"/>
        </w:rPr>
      </w:pPr>
      <w:r>
        <w:rPr>
          <w:lang w:eastAsia="zh-CN"/>
        </w:rPr>
        <w:t>RAN4 defines</w:t>
      </w:r>
      <w:r w:rsidR="00771074">
        <w:rPr>
          <w:lang w:eastAsia="zh-CN"/>
        </w:rPr>
        <w:t xml:space="preserve"> </w:t>
      </w:r>
      <w:r w:rsidR="003E0083">
        <w:rPr>
          <w:lang w:eastAsia="zh-CN"/>
        </w:rPr>
        <w:t>UE</w:t>
      </w:r>
      <w:r w:rsidR="009B2599">
        <w:rPr>
          <w:lang w:eastAsia="zh-CN"/>
        </w:rPr>
        <w:t xml:space="preserve"> measurement </w:t>
      </w:r>
      <w:r w:rsidR="003E0083">
        <w:rPr>
          <w:lang w:eastAsia="zh-CN"/>
        </w:rPr>
        <w:t>requirements</w:t>
      </w:r>
      <w:r w:rsidR="009B2599">
        <w:rPr>
          <w:lang w:eastAsia="zh-CN"/>
        </w:rPr>
        <w:t xml:space="preserve"> </w:t>
      </w:r>
      <w:r w:rsidR="00951707">
        <w:rPr>
          <w:lang w:eastAsia="zh-CN"/>
        </w:rPr>
        <w:t>in TS38.133 (</w:t>
      </w:r>
      <w:r w:rsidR="003E237F">
        <w:rPr>
          <w:lang w:eastAsia="zh-CN"/>
        </w:rPr>
        <w:t>Chapter-9</w:t>
      </w:r>
      <w:r w:rsidR="00951707">
        <w:rPr>
          <w:lang w:eastAsia="zh-CN"/>
        </w:rPr>
        <w:t>)</w:t>
      </w:r>
      <w:r w:rsidR="003E0083">
        <w:rPr>
          <w:lang w:eastAsia="zh-CN"/>
        </w:rPr>
        <w:t>,</w:t>
      </w:r>
      <w:r w:rsidR="00414536">
        <w:rPr>
          <w:lang w:eastAsia="zh-CN"/>
        </w:rPr>
        <w:t xml:space="preserve"> such as </w:t>
      </w:r>
    </w:p>
    <w:p w14:paraId="23774F37" w14:textId="301CD4A6" w:rsidR="001B7DB2" w:rsidRPr="00A64946" w:rsidRDefault="00A64946" w:rsidP="000E37FB">
      <w:pPr>
        <w:pStyle w:val="ListParagraph"/>
        <w:numPr>
          <w:ilvl w:val="0"/>
          <w:numId w:val="29"/>
        </w:numPr>
        <w:rPr>
          <w:rFonts w:eastAsia="MS Mincho"/>
          <w:sz w:val="20"/>
          <w:szCs w:val="20"/>
          <w:lang w:val="en-GB" w:eastAsia="zh-CN"/>
        </w:rPr>
      </w:pPr>
      <w:r w:rsidRPr="00A64946">
        <w:rPr>
          <w:rFonts w:eastAsia="MS Mincho"/>
          <w:sz w:val="20"/>
          <w:szCs w:val="20"/>
          <w:lang w:val="en-GB" w:eastAsia="zh-CN"/>
        </w:rPr>
        <w:t>N</w:t>
      </w:r>
      <w:r w:rsidR="003E5186" w:rsidRPr="00A64946">
        <w:rPr>
          <w:rFonts w:eastAsia="MS Mincho"/>
          <w:sz w:val="20"/>
          <w:szCs w:val="20"/>
          <w:lang w:val="en-GB" w:eastAsia="zh-CN"/>
        </w:rPr>
        <w:t xml:space="preserve">umber of cells and number of </w:t>
      </w:r>
      <w:r w:rsidR="00886896" w:rsidRPr="00A64946">
        <w:rPr>
          <w:rFonts w:eastAsia="MS Mincho"/>
          <w:sz w:val="20"/>
          <w:szCs w:val="20"/>
          <w:lang w:val="en-GB" w:eastAsia="zh-CN"/>
        </w:rPr>
        <w:t>SSBs to be measured</w:t>
      </w:r>
    </w:p>
    <w:p w14:paraId="33BC2904" w14:textId="529402C0" w:rsidR="000E37FB" w:rsidRDefault="00A64946" w:rsidP="000E37FB">
      <w:pPr>
        <w:pStyle w:val="ListParagraph"/>
        <w:numPr>
          <w:ilvl w:val="0"/>
          <w:numId w:val="29"/>
        </w:numPr>
        <w:rPr>
          <w:rFonts w:eastAsia="MS Mincho"/>
          <w:sz w:val="20"/>
          <w:szCs w:val="20"/>
          <w:lang w:val="en-GB" w:eastAsia="zh-CN"/>
        </w:rPr>
      </w:pPr>
      <w:r w:rsidRPr="00A64946">
        <w:rPr>
          <w:rFonts w:eastAsia="MS Mincho"/>
          <w:sz w:val="20"/>
          <w:szCs w:val="20"/>
          <w:lang w:val="en-GB" w:eastAsia="zh-CN"/>
        </w:rPr>
        <w:t>Cell identification and measurement delays</w:t>
      </w:r>
    </w:p>
    <w:p w14:paraId="057B55D9" w14:textId="6CEF35F3" w:rsidR="00A64946" w:rsidRDefault="00A64946" w:rsidP="00A64946">
      <w:pPr>
        <w:rPr>
          <w:lang w:eastAsia="zh-CN"/>
        </w:rPr>
      </w:pPr>
    </w:p>
    <w:p w14:paraId="4916787F" w14:textId="1617E404" w:rsidR="00AB1D30" w:rsidRDefault="00BB02ED" w:rsidP="00A64946">
      <w:pPr>
        <w:rPr>
          <w:lang w:eastAsia="zh-CN"/>
        </w:rPr>
      </w:pPr>
      <w:r>
        <w:rPr>
          <w:noProof/>
        </w:rPr>
        <mc:AlternateContent>
          <mc:Choice Requires="wps">
            <w:drawing>
              <wp:anchor distT="45720" distB="45720" distL="114300" distR="114300" simplePos="0" relativeHeight="251659264" behindDoc="0" locked="0" layoutInCell="1" allowOverlap="1" wp14:anchorId="2CE0E982" wp14:editId="72EE8679">
                <wp:simplePos x="0" y="0"/>
                <wp:positionH relativeFrom="column">
                  <wp:posOffset>71755</wp:posOffset>
                </wp:positionH>
                <wp:positionV relativeFrom="paragraph">
                  <wp:posOffset>415925</wp:posOffset>
                </wp:positionV>
                <wp:extent cx="589407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11A88C7C" w14:textId="190E1873" w:rsidR="00BB02ED" w:rsidRPr="009C5807" w:rsidRDefault="00BB02ED" w:rsidP="00BB02ED">
                            <w:r w:rsidRPr="00BA5320">
                              <w:rPr>
                                <w:u w:val="single"/>
                              </w:rPr>
                              <w:t>For each intra-frequency layer</w:t>
                            </w:r>
                            <w:r w:rsidRPr="009C5807">
                              <w:t xml:space="preserve">, during each layer 1 measurement period, the UE shall be capable of performing </w:t>
                            </w:r>
                            <w:r w:rsidRPr="009C5807">
                              <w:rPr>
                                <w:rFonts w:cs="v4.2.0"/>
                              </w:rPr>
                              <w:t>SS-RSRP, SS-RSRQ, and SS-SINR measurements for</w:t>
                            </w:r>
                            <w:r w:rsidRPr="009C5807">
                              <w:t xml:space="preserve"> at least:</w:t>
                            </w:r>
                          </w:p>
                          <w:p w14:paraId="0A22195D" w14:textId="77777777" w:rsidR="00BB02ED" w:rsidRPr="009C5807" w:rsidRDefault="00BB02ED" w:rsidP="00BB02ED">
                            <w:pPr>
                              <w:pStyle w:val="B10"/>
                            </w:pPr>
                            <w:r w:rsidRPr="009C5807">
                              <w:t>-</w:t>
                            </w:r>
                            <w:r w:rsidRPr="009C5807">
                              <w:tab/>
                            </w:r>
                            <w:r w:rsidRPr="00F37E85">
                              <w:rPr>
                                <w:highlight w:val="yellow"/>
                              </w:rPr>
                              <w:t>8</w:t>
                            </w:r>
                            <w:r w:rsidRPr="009C5807">
                              <w:t xml:space="preserve"> identified cells, and</w:t>
                            </w:r>
                          </w:p>
                          <w:p w14:paraId="2C3192DD" w14:textId="0A4D6877" w:rsidR="00BB02ED" w:rsidRDefault="00BB02ED" w:rsidP="00BA5320">
                            <w:pPr>
                              <w:ind w:firstLine="284"/>
                            </w:pPr>
                            <w:r w:rsidRPr="009C5807">
                              <w:t>-</w:t>
                            </w:r>
                            <w:r w:rsidRPr="009C5807">
                              <w:tab/>
                            </w:r>
                            <w:r w:rsidRPr="00F37E85">
                              <w:rPr>
                                <w:highlight w:val="yellow"/>
                              </w:rPr>
                              <w:t>14</w:t>
                            </w:r>
                            <w:r w:rsidRPr="009C5807">
                              <w:t xml:space="preserve"> SSBs with different SSB index and/or PCI on the intra-frequency layer, where the number of SSBs in the serving cell (except for the SCell) is not smaller than the number of configured RLM-RS SSB resources</w:t>
                            </w:r>
                          </w:p>
                          <w:p w14:paraId="7C7D6BF7" w14:textId="77777777" w:rsidR="00BA5320" w:rsidRPr="009C5807" w:rsidRDefault="00BA5320" w:rsidP="00BA5320">
                            <w:r w:rsidRPr="00BA5320">
                              <w:rPr>
                                <w:u w:val="single"/>
                              </w:rPr>
                              <w:t>For each inter-frequency layer</w:t>
                            </w:r>
                            <w:r w:rsidRPr="009C5807">
                              <w:t xml:space="preserve">, during each layer 1 measurement period, the UE shall be capable of performing </w:t>
                            </w:r>
                            <w:r w:rsidRPr="009C5807">
                              <w:rPr>
                                <w:rFonts w:cs="v4.2.0"/>
                              </w:rPr>
                              <w:t>SS-RSRP, SS-RSRQ, and SS-SINR measurements for</w:t>
                            </w:r>
                            <w:r w:rsidRPr="009C5807">
                              <w:t xml:space="preserve"> at least: </w:t>
                            </w:r>
                          </w:p>
                          <w:p w14:paraId="72A3D49E" w14:textId="77777777" w:rsidR="00BA5320" w:rsidRPr="009C5807" w:rsidRDefault="00BA5320" w:rsidP="00BA5320">
                            <w:pPr>
                              <w:pStyle w:val="B10"/>
                            </w:pPr>
                            <w:r w:rsidRPr="009C5807">
                              <w:t>-</w:t>
                            </w:r>
                            <w:r w:rsidRPr="009C5807">
                              <w:tab/>
                            </w:r>
                            <w:r w:rsidRPr="00F37E85">
                              <w:rPr>
                                <w:highlight w:val="yellow"/>
                              </w:rPr>
                              <w:t>4</w:t>
                            </w:r>
                            <w:r w:rsidRPr="009C5807">
                              <w:t xml:space="preserve"> identified cells, and</w:t>
                            </w:r>
                          </w:p>
                          <w:p w14:paraId="7E32BE0B" w14:textId="1220B533" w:rsidR="00D45F42" w:rsidRDefault="00BA5320" w:rsidP="00BA5320">
                            <w:pPr>
                              <w:ind w:firstLine="284"/>
                            </w:pPr>
                            <w:r w:rsidRPr="009C5807">
                              <w:t>-</w:t>
                            </w:r>
                            <w:r w:rsidRPr="009C5807">
                              <w:tab/>
                            </w:r>
                            <w:r w:rsidRPr="00F37E85">
                              <w:rPr>
                                <w:highlight w:val="yellow"/>
                              </w:rPr>
                              <w:t>7</w:t>
                            </w:r>
                            <w:r w:rsidRPr="009C5807">
                              <w:t xml:space="preserve"> SSBs with different SSB index and/or PCI on the inter-frequency 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E0E982" id="_x0000_t202" coordsize="21600,21600" o:spt="202" path="m,l,21600r21600,l21600,xe">
                <v:stroke joinstyle="miter"/>
                <v:path gradientshapeok="t" o:connecttype="rect"/>
              </v:shapetype>
              <v:shape id="Text Box 2" o:spid="_x0000_s1026" type="#_x0000_t202" style="position:absolute;margin-left:5.65pt;margin-top:32.75pt;width:464.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g7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frMo8m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">
                <v:textbox style="mso-fit-shape-to-text:t">
                  <w:txbxContent>
                    <w:p w14:paraId="11A88C7C" w14:textId="190E1873" w:rsidR="00BB02ED" w:rsidRPr="009C5807" w:rsidRDefault="00BB02ED" w:rsidP="00BB02ED">
                      <w:r w:rsidRPr="00BA5320">
                        <w:rPr>
                          <w:u w:val="single"/>
                        </w:rPr>
                        <w:t>For each intra-frequency layer</w:t>
                      </w:r>
                      <w:r w:rsidRPr="009C5807">
                        <w:t xml:space="preserve">, during each layer 1 measurement period, the UE shall be capable of performing </w:t>
                      </w:r>
                      <w:r w:rsidRPr="009C5807">
                        <w:rPr>
                          <w:rFonts w:cs="v4.2.0"/>
                        </w:rPr>
                        <w:t>SS-RSRP, SS-RSRQ, and SS-SINR measurements for</w:t>
                      </w:r>
                      <w:r w:rsidRPr="009C5807">
                        <w:t xml:space="preserve"> at least:</w:t>
                      </w:r>
                    </w:p>
                    <w:p w14:paraId="0A22195D" w14:textId="77777777" w:rsidR="00BB02ED" w:rsidRPr="009C5807" w:rsidRDefault="00BB02ED" w:rsidP="00BB02ED">
                      <w:pPr>
                        <w:pStyle w:val="B10"/>
                      </w:pPr>
                      <w:r w:rsidRPr="009C5807">
                        <w:t>-</w:t>
                      </w:r>
                      <w:r w:rsidRPr="009C5807">
                        <w:tab/>
                      </w:r>
                      <w:r w:rsidRPr="00F37E85">
                        <w:rPr>
                          <w:highlight w:val="yellow"/>
                        </w:rPr>
                        <w:t>8</w:t>
                      </w:r>
                      <w:r w:rsidRPr="009C5807">
                        <w:t xml:space="preserve"> identified cells, and</w:t>
                      </w:r>
                    </w:p>
                    <w:p w14:paraId="2C3192DD" w14:textId="0A4D6877" w:rsidR="00BB02ED" w:rsidRDefault="00BB02ED" w:rsidP="00BA5320">
                      <w:pPr>
                        <w:ind w:firstLine="284"/>
                      </w:pPr>
                      <w:r w:rsidRPr="009C5807">
                        <w:t>-</w:t>
                      </w:r>
                      <w:r w:rsidRPr="009C5807">
                        <w:tab/>
                      </w:r>
                      <w:r w:rsidRPr="00F37E85">
                        <w:rPr>
                          <w:highlight w:val="yellow"/>
                        </w:rPr>
                        <w:t>14</w:t>
                      </w:r>
                      <w:r w:rsidRPr="009C5807">
                        <w:t xml:space="preserve"> SSBs with different SSB index and/or PCI on the intra-frequency layer, where the number of SSBs in the serving cell (except for the SCell) is not smaller than the number of configured RLM-RS SSB resources</w:t>
                      </w:r>
                    </w:p>
                    <w:p w14:paraId="7C7D6BF7" w14:textId="77777777" w:rsidR="00BA5320" w:rsidRPr="009C5807" w:rsidRDefault="00BA5320" w:rsidP="00BA5320">
                      <w:r w:rsidRPr="00BA5320">
                        <w:rPr>
                          <w:u w:val="single"/>
                        </w:rPr>
                        <w:t>For each inter-frequency layer</w:t>
                      </w:r>
                      <w:r w:rsidRPr="009C5807">
                        <w:t xml:space="preserve">, during each layer 1 measurement period, the UE shall be capable of performing </w:t>
                      </w:r>
                      <w:r w:rsidRPr="009C5807">
                        <w:rPr>
                          <w:rFonts w:cs="v4.2.0"/>
                        </w:rPr>
                        <w:t>SS-RSRP, SS-RSRQ, and SS-SINR measurements for</w:t>
                      </w:r>
                      <w:r w:rsidRPr="009C5807">
                        <w:t xml:space="preserve"> at least: </w:t>
                      </w:r>
                    </w:p>
                    <w:p w14:paraId="72A3D49E" w14:textId="77777777" w:rsidR="00BA5320" w:rsidRPr="009C5807" w:rsidRDefault="00BA5320" w:rsidP="00BA5320">
                      <w:pPr>
                        <w:pStyle w:val="B10"/>
                      </w:pPr>
                      <w:r w:rsidRPr="009C5807">
                        <w:t>-</w:t>
                      </w:r>
                      <w:r w:rsidRPr="009C5807">
                        <w:tab/>
                      </w:r>
                      <w:r w:rsidRPr="00F37E85">
                        <w:rPr>
                          <w:highlight w:val="yellow"/>
                        </w:rPr>
                        <w:t>4</w:t>
                      </w:r>
                      <w:r w:rsidRPr="009C5807">
                        <w:t xml:space="preserve"> identified cells, and</w:t>
                      </w:r>
                    </w:p>
                    <w:p w14:paraId="7E32BE0B" w14:textId="1220B533" w:rsidR="00D45F42" w:rsidRDefault="00BA5320" w:rsidP="00BA5320">
                      <w:pPr>
                        <w:ind w:firstLine="284"/>
                      </w:pPr>
                      <w:r w:rsidRPr="009C5807">
                        <w:t>-</w:t>
                      </w:r>
                      <w:r w:rsidRPr="009C5807">
                        <w:tab/>
                      </w:r>
                      <w:r w:rsidRPr="00F37E85">
                        <w:rPr>
                          <w:highlight w:val="yellow"/>
                        </w:rPr>
                        <w:t>7</w:t>
                      </w:r>
                      <w:r w:rsidRPr="009C5807">
                        <w:t xml:space="preserve"> SSBs with different SSB index and/or PCI on the inter-frequency layer</w:t>
                      </w:r>
                    </w:p>
                  </w:txbxContent>
                </v:textbox>
                <w10:wrap type="square"/>
              </v:shape>
            </w:pict>
          </mc:Fallback>
        </mc:AlternateContent>
      </w:r>
      <w:r w:rsidR="00AA371B">
        <w:rPr>
          <w:lang w:eastAsia="zh-CN"/>
        </w:rPr>
        <w:t>The</w:t>
      </w:r>
      <w:r w:rsidR="003D2BEF">
        <w:rPr>
          <w:lang w:eastAsia="zh-CN"/>
        </w:rPr>
        <w:t xml:space="preserve"> requirements </w:t>
      </w:r>
      <w:r w:rsidR="00AB1D30">
        <w:rPr>
          <w:lang w:eastAsia="zh-CN"/>
        </w:rPr>
        <w:t>may be</w:t>
      </w:r>
      <w:r w:rsidR="003D2BEF">
        <w:rPr>
          <w:lang w:eastAsia="zh-CN"/>
        </w:rPr>
        <w:t xml:space="preserve"> different for intra-frequency and inter-frequency</w:t>
      </w:r>
      <w:r w:rsidR="00AB1D30">
        <w:rPr>
          <w:lang w:eastAsia="zh-CN"/>
        </w:rPr>
        <w:t xml:space="preserve"> and whether a measurement gap is needed or not. For example, </w:t>
      </w:r>
      <w:r w:rsidR="0071720D">
        <w:rPr>
          <w:lang w:eastAsia="zh-CN"/>
        </w:rPr>
        <w:t>for FR1,</w:t>
      </w:r>
    </w:p>
    <w:p w14:paraId="7C3150CC" w14:textId="2A7C00B2" w:rsidR="00BB02ED" w:rsidRDefault="00BB02ED" w:rsidP="0071720D"/>
    <w:p w14:paraId="5848EB04" w14:textId="6B7F086E" w:rsidR="00BB02ED" w:rsidRDefault="00234988" w:rsidP="0071720D">
      <w:r>
        <w:t xml:space="preserve">During </w:t>
      </w:r>
      <w:r w:rsidR="007D25FB">
        <w:t>last meeting</w:t>
      </w:r>
      <w:r w:rsidR="007A057B">
        <w:t xml:space="preserve"> [2]</w:t>
      </w:r>
      <w:r w:rsidR="007D25FB">
        <w:t>, RAN4 agreed</w:t>
      </w:r>
      <w:r w:rsidR="007B698B">
        <w:t xml:space="preserve"> that (based on the RAN2 agreement):</w:t>
      </w:r>
    </w:p>
    <w:p w14:paraId="3176B687" w14:textId="55556CCF" w:rsidR="007B698B" w:rsidRDefault="00634E9E" w:rsidP="0071720D">
      <w:r>
        <w:rPr>
          <w:noProof/>
        </w:rPr>
        <w:lastRenderedPageBreak/>
        <mc:AlternateContent>
          <mc:Choice Requires="wps">
            <w:drawing>
              <wp:anchor distT="45720" distB="45720" distL="114300" distR="114300" simplePos="0" relativeHeight="251661312" behindDoc="0" locked="0" layoutInCell="1" allowOverlap="1" wp14:anchorId="493C1EB6" wp14:editId="0E80E1F1">
                <wp:simplePos x="0" y="0"/>
                <wp:positionH relativeFrom="column">
                  <wp:posOffset>273050</wp:posOffset>
                </wp:positionH>
                <wp:positionV relativeFrom="paragraph">
                  <wp:posOffset>181610</wp:posOffset>
                </wp:positionV>
                <wp:extent cx="5671185" cy="1404620"/>
                <wp:effectExtent l="0" t="0" r="24765"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1404620"/>
                        </a:xfrm>
                        <a:prstGeom prst="rect">
                          <a:avLst/>
                        </a:prstGeom>
                        <a:solidFill>
                          <a:srgbClr val="FFFFFF"/>
                        </a:solidFill>
                        <a:ln w="9525">
                          <a:solidFill>
                            <a:srgbClr val="000000"/>
                          </a:solidFill>
                          <a:miter lim="800000"/>
                          <a:headEnd/>
                          <a:tailEnd/>
                        </a:ln>
                      </wps:spPr>
                      <wps:txbx>
                        <w:txbxContent>
                          <w:p w14:paraId="7497F5D6" w14:textId="37147F7B" w:rsidR="00634E9E" w:rsidRPr="00A00C86" w:rsidRDefault="00634E9E" w:rsidP="00634E9E">
                            <w:pPr>
                              <w:rPr>
                                <w:b/>
                                <w:u w:val="single"/>
                                <w:lang w:val="en-US" w:eastAsia="ko-KR"/>
                              </w:rPr>
                            </w:pPr>
                            <w:r w:rsidRPr="00A00C86">
                              <w:rPr>
                                <w:b/>
                                <w:u w:val="single"/>
                                <w:lang w:val="en-US" w:eastAsia="ko-KR"/>
                              </w:rPr>
                              <w:t>Reference SSB to decide measurement type (intra- or inter-frequency)</w:t>
                            </w:r>
                          </w:p>
                          <w:p w14:paraId="31D93924" w14:textId="77777777" w:rsidR="00634E9E" w:rsidRDefault="00634E9E" w:rsidP="00634E9E">
                            <w:pPr>
                              <w:rPr>
                                <w:bCs/>
                                <w:lang w:val="en-US" w:eastAsia="ko-KR"/>
                              </w:rPr>
                            </w:pPr>
                            <w:r w:rsidRPr="002612C5">
                              <w:rPr>
                                <w:bCs/>
                                <w:lang w:val="en-US" w:eastAsia="ko-KR"/>
                              </w:rPr>
                              <w:t xml:space="preserve">From RAN2 signalling point of view, </w:t>
                            </w:r>
                          </w:p>
                          <w:p w14:paraId="7571EF0B" w14:textId="468C9DF3" w:rsidR="00634E9E" w:rsidRPr="00C869E3" w:rsidRDefault="00634E9E" w:rsidP="00634E9E">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 xml:space="preserve">a </w:t>
                            </w:r>
                            <w:r w:rsidRPr="006B512B">
                              <w:rPr>
                                <w:rFonts w:eastAsia="MS Mincho"/>
                                <w:sz w:val="20"/>
                                <w:szCs w:val="20"/>
                                <w:lang w:val="en-GB"/>
                              </w:rPr>
                              <w:t>BWP-specific</w:t>
                            </w:r>
                            <w:r w:rsidRPr="006B512B">
                              <w:rPr>
                                <w:rFonts w:eastAsia="MS Mincho"/>
                                <w:i/>
                                <w:iCs/>
                                <w:sz w:val="20"/>
                                <w:szCs w:val="20"/>
                                <w:lang w:val="en-GB"/>
                              </w:rPr>
                              <w:t xml:space="preserve"> servingCellMO</w:t>
                            </w:r>
                            <w:r w:rsidRPr="00C869E3">
                              <w:rPr>
                                <w:rFonts w:eastAsia="MS Mincho"/>
                                <w:sz w:val="20"/>
                                <w:szCs w:val="20"/>
                                <w:lang w:val="en-GB"/>
                              </w:rPr>
                              <w:t xml:space="preserve"> is defined under </w:t>
                            </w:r>
                            <w:r w:rsidRPr="006B512B">
                              <w:rPr>
                                <w:rFonts w:eastAsia="MS Mincho"/>
                                <w:i/>
                                <w:iCs/>
                                <w:sz w:val="20"/>
                                <w:szCs w:val="20"/>
                                <w:lang w:val="en-GB"/>
                              </w:rPr>
                              <w:t>BWP-DownlinkDedicated</w:t>
                            </w:r>
                            <w:r w:rsidRPr="00C869E3">
                              <w:rPr>
                                <w:rFonts w:eastAsia="MS Mincho"/>
                                <w:sz w:val="20"/>
                                <w:szCs w:val="20"/>
                                <w:lang w:val="en-GB"/>
                              </w:rPr>
                              <w:t xml:space="preserve">, the SSB defined in this </w:t>
                            </w:r>
                            <w:r w:rsidRPr="006B512B">
                              <w:rPr>
                                <w:rFonts w:eastAsia="MS Mincho"/>
                                <w:i/>
                                <w:iCs/>
                                <w:sz w:val="20"/>
                                <w:szCs w:val="20"/>
                                <w:lang w:val="en-GB"/>
                              </w:rPr>
                              <w:t>servingCellMO</w:t>
                            </w:r>
                            <w:r w:rsidRPr="00C869E3">
                              <w:rPr>
                                <w:rFonts w:eastAsia="MS Mincho"/>
                                <w:sz w:val="20"/>
                                <w:szCs w:val="20"/>
                                <w:lang w:val="en-GB"/>
                              </w:rPr>
                              <w:t xml:space="preserve"> is the reference SSB to be used for serving cell measurements when the UE is in this active </w:t>
                            </w:r>
                            <w:r w:rsidR="006B512B" w:rsidRPr="00C869E3">
                              <w:rPr>
                                <w:rFonts w:eastAsia="MS Mincho"/>
                                <w:sz w:val="20"/>
                                <w:szCs w:val="20"/>
                                <w:lang w:val="en-GB"/>
                              </w:rPr>
                              <w:t>BWP.</w:t>
                            </w:r>
                            <w:r w:rsidRPr="00C869E3">
                              <w:rPr>
                                <w:rFonts w:eastAsia="MS Mincho"/>
                                <w:sz w:val="20"/>
                                <w:szCs w:val="20"/>
                                <w:lang w:val="en-GB"/>
                              </w:rPr>
                              <w:t xml:space="preserve"> </w:t>
                            </w:r>
                          </w:p>
                          <w:p w14:paraId="2EEC7873" w14:textId="77777777" w:rsidR="00634E9E" w:rsidRPr="00C869E3" w:rsidRDefault="00634E9E" w:rsidP="00634E9E">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 xml:space="preserve">if the field is absent, SSB defined in </w:t>
                            </w:r>
                            <w:r w:rsidRPr="006B512B">
                              <w:rPr>
                                <w:rFonts w:eastAsia="MS Mincho"/>
                                <w:i/>
                                <w:iCs/>
                                <w:sz w:val="20"/>
                                <w:szCs w:val="20"/>
                                <w:lang w:val="en-GB"/>
                              </w:rPr>
                              <w:t>servingCellMO</w:t>
                            </w:r>
                            <w:r w:rsidRPr="00C869E3">
                              <w:rPr>
                                <w:rFonts w:eastAsia="MS Mincho"/>
                                <w:sz w:val="20"/>
                                <w:szCs w:val="20"/>
                                <w:lang w:val="en-GB"/>
                              </w:rPr>
                              <w:t xml:space="preserve"> under </w:t>
                            </w:r>
                            <w:r w:rsidRPr="006B512B">
                              <w:rPr>
                                <w:rFonts w:eastAsia="MS Mincho"/>
                                <w:i/>
                                <w:iCs/>
                                <w:sz w:val="20"/>
                                <w:szCs w:val="20"/>
                                <w:lang w:val="en-GB"/>
                              </w:rPr>
                              <w:t>ServingCellConfig</w:t>
                            </w:r>
                            <w:r w:rsidRPr="00C869E3">
                              <w:rPr>
                                <w:rFonts w:eastAsia="MS Mincho"/>
                                <w:sz w:val="20"/>
                                <w:szCs w:val="20"/>
                                <w:lang w:val="en-GB"/>
                              </w:rPr>
                              <w:t xml:space="preserve"> is the reference SSB to be used for serving cell measurements. </w:t>
                            </w:r>
                          </w:p>
                          <w:p w14:paraId="604A19E1" w14:textId="2E9F25C1" w:rsidR="00634E9E" w:rsidRPr="00C869E3" w:rsidRDefault="00634E9E" w:rsidP="00C869E3">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This reference SSB is used to define intra-frequency measurements.</w:t>
                            </w:r>
                          </w:p>
                          <w:p w14:paraId="15CFB976" w14:textId="77777777" w:rsidR="00634E9E" w:rsidRDefault="00634E9E" w:rsidP="00634E9E">
                            <w:pPr>
                              <w:rPr>
                                <w:b/>
                                <w:color w:val="000000" w:themeColor="text1"/>
                                <w:u w:val="single"/>
                                <w:lang w:val="en-US" w:eastAsia="ko-KR"/>
                              </w:rPr>
                            </w:pPr>
                            <w:r>
                              <w:rPr>
                                <w:b/>
                                <w:color w:val="000000" w:themeColor="text1"/>
                                <w:u w:val="single"/>
                                <w:lang w:val="en-US" w:eastAsia="ko-KR"/>
                              </w:rPr>
                              <w:t>Definition of SSB based intra-frequency measurement</w:t>
                            </w:r>
                          </w:p>
                          <w:p w14:paraId="08F4E630" w14:textId="54B49B82" w:rsidR="00634E9E" w:rsidRDefault="00634E9E">
                            <w:r>
                              <w:t>The centre frequency of the reference SSB of the serving cell and the centre frequency of the SSB of the neighbour cell are the same, and the subcarrier spacing of the two SSBs are also the same. The reference SSB is the SSB defined in BWP-specific</w:t>
                            </w:r>
                            <w:r>
                              <w:rPr>
                                <w:rStyle w:val="apple-converted-space"/>
                              </w:rPr>
                              <w:t> </w:t>
                            </w:r>
                            <w:r>
                              <w:rPr>
                                <w:i/>
                                <w:iCs/>
                              </w:rPr>
                              <w:t>servingCellMO</w:t>
                            </w:r>
                            <w:r>
                              <w:rPr>
                                <w:rStyle w:val="apple-converted-space"/>
                              </w:rPr>
                              <w:t> </w:t>
                            </w:r>
                            <w:r>
                              <w:t>under</w:t>
                            </w:r>
                            <w:r>
                              <w:rPr>
                                <w:rStyle w:val="apple-converted-space"/>
                              </w:rPr>
                              <w:t> </w:t>
                            </w:r>
                            <w:r>
                              <w:rPr>
                                <w:i/>
                                <w:iCs/>
                              </w:rPr>
                              <w:t>BWP-DownlinkDedicated</w:t>
                            </w:r>
                            <w:r>
                              <w:rPr>
                                <w:rStyle w:val="apple-converted-space"/>
                              </w:rPr>
                              <w:t> </w:t>
                            </w:r>
                            <w:r>
                              <w:t>of active DL BWP. If the field is absent, the reference SSB is the SSB defined in</w:t>
                            </w:r>
                            <w:r>
                              <w:rPr>
                                <w:rStyle w:val="apple-converted-space"/>
                              </w:rPr>
                              <w:t> </w:t>
                            </w:r>
                            <w:r>
                              <w:rPr>
                                <w:i/>
                                <w:iCs/>
                              </w:rPr>
                              <w:t xml:space="preserve">servingCellMO </w:t>
                            </w:r>
                            <w:r>
                              <w:t>under</w:t>
                            </w:r>
                            <w:r>
                              <w:rPr>
                                <w:rStyle w:val="apple-converted-space"/>
                              </w:rPr>
                              <w:t> </w:t>
                            </w:r>
                            <w:r>
                              <w:rPr>
                                <w:i/>
                                <w:iCs/>
                              </w:rPr>
                              <w:t>ServingCellConfig</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3C1EB6" id="_x0000_s1027" type="#_x0000_t202" style="position:absolute;margin-left:21.5pt;margin-top:14.3pt;width:446.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">
                <v:textbox style="mso-fit-shape-to-text:t">
                  <w:txbxContent>
                    <w:p w14:paraId="7497F5D6" w14:textId="37147F7B" w:rsidR="00634E9E" w:rsidRPr="00A00C86" w:rsidRDefault="00634E9E" w:rsidP="00634E9E">
                      <w:pPr>
                        <w:rPr>
                          <w:b/>
                          <w:u w:val="single"/>
                          <w:lang w:val="en-US" w:eastAsia="ko-KR"/>
                        </w:rPr>
                      </w:pPr>
                      <w:r w:rsidRPr="00A00C86">
                        <w:rPr>
                          <w:b/>
                          <w:u w:val="single"/>
                          <w:lang w:val="en-US" w:eastAsia="ko-KR"/>
                        </w:rPr>
                        <w:t>Reference SSB to decide measurement type (intra- or inter-frequency)</w:t>
                      </w:r>
                    </w:p>
                    <w:p w14:paraId="31D93924" w14:textId="77777777" w:rsidR="00634E9E" w:rsidRDefault="00634E9E" w:rsidP="00634E9E">
                      <w:pPr>
                        <w:rPr>
                          <w:bCs/>
                          <w:lang w:val="en-US" w:eastAsia="ko-KR"/>
                        </w:rPr>
                      </w:pPr>
                      <w:r w:rsidRPr="002612C5">
                        <w:rPr>
                          <w:bCs/>
                          <w:lang w:val="en-US" w:eastAsia="ko-KR"/>
                        </w:rPr>
                        <w:t xml:space="preserve">From RAN2 signalling point of view, </w:t>
                      </w:r>
                    </w:p>
                    <w:p w14:paraId="7571EF0B" w14:textId="468C9DF3" w:rsidR="00634E9E" w:rsidRPr="00C869E3" w:rsidRDefault="00634E9E" w:rsidP="00634E9E">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 xml:space="preserve">a </w:t>
                      </w:r>
                      <w:r w:rsidRPr="006B512B">
                        <w:rPr>
                          <w:rFonts w:eastAsia="MS Mincho"/>
                          <w:sz w:val="20"/>
                          <w:szCs w:val="20"/>
                          <w:lang w:val="en-GB"/>
                        </w:rPr>
                        <w:t>BWP-specific</w:t>
                      </w:r>
                      <w:r w:rsidRPr="006B512B">
                        <w:rPr>
                          <w:rFonts w:eastAsia="MS Mincho"/>
                          <w:i/>
                          <w:iCs/>
                          <w:sz w:val="20"/>
                          <w:szCs w:val="20"/>
                          <w:lang w:val="en-GB"/>
                        </w:rPr>
                        <w:t xml:space="preserve"> servingCellMO</w:t>
                      </w:r>
                      <w:r w:rsidRPr="00C869E3">
                        <w:rPr>
                          <w:rFonts w:eastAsia="MS Mincho"/>
                          <w:sz w:val="20"/>
                          <w:szCs w:val="20"/>
                          <w:lang w:val="en-GB"/>
                        </w:rPr>
                        <w:t xml:space="preserve"> is defined under </w:t>
                      </w:r>
                      <w:r w:rsidRPr="006B512B">
                        <w:rPr>
                          <w:rFonts w:eastAsia="MS Mincho"/>
                          <w:i/>
                          <w:iCs/>
                          <w:sz w:val="20"/>
                          <w:szCs w:val="20"/>
                          <w:lang w:val="en-GB"/>
                        </w:rPr>
                        <w:t>BWP-DownlinkDedicated</w:t>
                      </w:r>
                      <w:r w:rsidRPr="00C869E3">
                        <w:rPr>
                          <w:rFonts w:eastAsia="MS Mincho"/>
                          <w:sz w:val="20"/>
                          <w:szCs w:val="20"/>
                          <w:lang w:val="en-GB"/>
                        </w:rPr>
                        <w:t xml:space="preserve">, the SSB defined in this </w:t>
                      </w:r>
                      <w:r w:rsidRPr="006B512B">
                        <w:rPr>
                          <w:rFonts w:eastAsia="MS Mincho"/>
                          <w:i/>
                          <w:iCs/>
                          <w:sz w:val="20"/>
                          <w:szCs w:val="20"/>
                          <w:lang w:val="en-GB"/>
                        </w:rPr>
                        <w:t>servingCellMO</w:t>
                      </w:r>
                      <w:r w:rsidRPr="00C869E3">
                        <w:rPr>
                          <w:rFonts w:eastAsia="MS Mincho"/>
                          <w:sz w:val="20"/>
                          <w:szCs w:val="20"/>
                          <w:lang w:val="en-GB"/>
                        </w:rPr>
                        <w:t xml:space="preserve"> is the reference SSB to be used for serving cell measurements when the UE is in this active </w:t>
                      </w:r>
                      <w:r w:rsidR="006B512B" w:rsidRPr="00C869E3">
                        <w:rPr>
                          <w:rFonts w:eastAsia="MS Mincho"/>
                          <w:sz w:val="20"/>
                          <w:szCs w:val="20"/>
                          <w:lang w:val="en-GB"/>
                        </w:rPr>
                        <w:t>BWP.</w:t>
                      </w:r>
                      <w:r w:rsidRPr="00C869E3">
                        <w:rPr>
                          <w:rFonts w:eastAsia="MS Mincho"/>
                          <w:sz w:val="20"/>
                          <w:szCs w:val="20"/>
                          <w:lang w:val="en-GB"/>
                        </w:rPr>
                        <w:t xml:space="preserve"> </w:t>
                      </w:r>
                    </w:p>
                    <w:p w14:paraId="2EEC7873" w14:textId="77777777" w:rsidR="00634E9E" w:rsidRPr="00C869E3" w:rsidRDefault="00634E9E" w:rsidP="00634E9E">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 xml:space="preserve">if the field is absent, SSB defined in </w:t>
                      </w:r>
                      <w:r w:rsidRPr="006B512B">
                        <w:rPr>
                          <w:rFonts w:eastAsia="MS Mincho"/>
                          <w:i/>
                          <w:iCs/>
                          <w:sz w:val="20"/>
                          <w:szCs w:val="20"/>
                          <w:lang w:val="en-GB"/>
                        </w:rPr>
                        <w:t>servingCellMO</w:t>
                      </w:r>
                      <w:r w:rsidRPr="00C869E3">
                        <w:rPr>
                          <w:rFonts w:eastAsia="MS Mincho"/>
                          <w:sz w:val="20"/>
                          <w:szCs w:val="20"/>
                          <w:lang w:val="en-GB"/>
                        </w:rPr>
                        <w:t xml:space="preserve"> under </w:t>
                      </w:r>
                      <w:r w:rsidRPr="006B512B">
                        <w:rPr>
                          <w:rFonts w:eastAsia="MS Mincho"/>
                          <w:i/>
                          <w:iCs/>
                          <w:sz w:val="20"/>
                          <w:szCs w:val="20"/>
                          <w:lang w:val="en-GB"/>
                        </w:rPr>
                        <w:t>ServingCellConfig</w:t>
                      </w:r>
                      <w:r w:rsidRPr="00C869E3">
                        <w:rPr>
                          <w:rFonts w:eastAsia="MS Mincho"/>
                          <w:sz w:val="20"/>
                          <w:szCs w:val="20"/>
                          <w:lang w:val="en-GB"/>
                        </w:rPr>
                        <w:t xml:space="preserve"> is the reference SSB to be used for serving cell measurements. </w:t>
                      </w:r>
                    </w:p>
                    <w:p w14:paraId="604A19E1" w14:textId="2E9F25C1" w:rsidR="00634E9E" w:rsidRPr="00C869E3" w:rsidRDefault="00634E9E" w:rsidP="00C869E3">
                      <w:pPr>
                        <w:pStyle w:val="ListParagraph"/>
                        <w:numPr>
                          <w:ilvl w:val="0"/>
                          <w:numId w:val="30"/>
                        </w:numPr>
                        <w:overflowPunct w:val="0"/>
                        <w:autoSpaceDE w:val="0"/>
                        <w:autoSpaceDN w:val="0"/>
                        <w:adjustRightInd w:val="0"/>
                        <w:spacing w:after="180" w:line="259" w:lineRule="auto"/>
                        <w:contextualSpacing w:val="0"/>
                        <w:textAlignment w:val="baseline"/>
                        <w:rPr>
                          <w:rFonts w:eastAsia="MS Mincho"/>
                          <w:sz w:val="20"/>
                          <w:szCs w:val="20"/>
                          <w:lang w:val="en-GB"/>
                        </w:rPr>
                      </w:pPr>
                      <w:r w:rsidRPr="00C869E3">
                        <w:rPr>
                          <w:rFonts w:eastAsia="MS Mincho"/>
                          <w:sz w:val="20"/>
                          <w:szCs w:val="20"/>
                          <w:lang w:val="en-GB"/>
                        </w:rPr>
                        <w:t>This reference SSB is used to define intra-frequency measurements.</w:t>
                      </w:r>
                    </w:p>
                    <w:p w14:paraId="15CFB976" w14:textId="77777777" w:rsidR="00634E9E" w:rsidRDefault="00634E9E" w:rsidP="00634E9E">
                      <w:pPr>
                        <w:rPr>
                          <w:b/>
                          <w:color w:val="000000" w:themeColor="text1"/>
                          <w:u w:val="single"/>
                          <w:lang w:val="en-US" w:eastAsia="ko-KR"/>
                        </w:rPr>
                      </w:pPr>
                      <w:r>
                        <w:rPr>
                          <w:b/>
                          <w:color w:val="000000" w:themeColor="text1"/>
                          <w:u w:val="single"/>
                          <w:lang w:val="en-US" w:eastAsia="ko-KR"/>
                        </w:rPr>
                        <w:t>Definition of SSB based intra-frequency measurement</w:t>
                      </w:r>
                    </w:p>
                    <w:p w14:paraId="08F4E630" w14:textId="54B49B82" w:rsidR="00634E9E" w:rsidRDefault="00634E9E">
                      <w:r>
                        <w:t>The centre frequency of the reference SSB of the serving cell and the centre frequency of the SSB of the neighbour cell are the same, and the subcarrier spacing of the two SSBs are also the same. The reference SSB is the SSB defined in BWP-specific</w:t>
                      </w:r>
                      <w:r>
                        <w:rPr>
                          <w:rStyle w:val="apple-converted-space"/>
                        </w:rPr>
                        <w:t> </w:t>
                      </w:r>
                      <w:r>
                        <w:rPr>
                          <w:i/>
                          <w:iCs/>
                        </w:rPr>
                        <w:t>servingCellMO</w:t>
                      </w:r>
                      <w:r>
                        <w:rPr>
                          <w:rStyle w:val="apple-converted-space"/>
                        </w:rPr>
                        <w:t> </w:t>
                      </w:r>
                      <w:r>
                        <w:t>under</w:t>
                      </w:r>
                      <w:r>
                        <w:rPr>
                          <w:rStyle w:val="apple-converted-space"/>
                        </w:rPr>
                        <w:t> </w:t>
                      </w:r>
                      <w:r>
                        <w:rPr>
                          <w:i/>
                          <w:iCs/>
                        </w:rPr>
                        <w:t>BWP-DownlinkDedicated</w:t>
                      </w:r>
                      <w:r>
                        <w:rPr>
                          <w:rStyle w:val="apple-converted-space"/>
                        </w:rPr>
                        <w:t> </w:t>
                      </w:r>
                      <w:r>
                        <w:t>of active DL BWP. If the field is absent, the reference SSB is the SSB defined in</w:t>
                      </w:r>
                      <w:r>
                        <w:rPr>
                          <w:rStyle w:val="apple-converted-space"/>
                        </w:rPr>
                        <w:t> </w:t>
                      </w:r>
                      <w:r>
                        <w:rPr>
                          <w:i/>
                          <w:iCs/>
                        </w:rPr>
                        <w:t xml:space="preserve">servingCellMO </w:t>
                      </w:r>
                      <w:r>
                        <w:t>under</w:t>
                      </w:r>
                      <w:r>
                        <w:rPr>
                          <w:rStyle w:val="apple-converted-space"/>
                        </w:rPr>
                        <w:t> </w:t>
                      </w:r>
                      <w:r>
                        <w:rPr>
                          <w:i/>
                          <w:iCs/>
                        </w:rPr>
                        <w:t>ServingCellConfig</w:t>
                      </w:r>
                      <w:r>
                        <w:t>.</w:t>
                      </w:r>
                    </w:p>
                  </w:txbxContent>
                </v:textbox>
                <w10:wrap type="square"/>
              </v:shape>
            </w:pict>
          </mc:Fallback>
        </mc:AlternateContent>
      </w:r>
    </w:p>
    <w:p w14:paraId="202F5559" w14:textId="73FC3DB6" w:rsidR="0071720D" w:rsidRDefault="00603575" w:rsidP="001126F4">
      <w:pPr>
        <w:rPr>
          <w:lang w:eastAsia="zh-CN"/>
        </w:rPr>
      </w:pPr>
      <w:r>
        <w:rPr>
          <w:lang w:eastAsia="zh-CN"/>
        </w:rPr>
        <w:t>The above agreement</w:t>
      </w:r>
      <w:r w:rsidR="00151729">
        <w:rPr>
          <w:lang w:eastAsia="zh-CN"/>
        </w:rPr>
        <w:t>s</w:t>
      </w:r>
      <w:r>
        <w:rPr>
          <w:lang w:eastAsia="zh-CN"/>
        </w:rPr>
        <w:t xml:space="preserve"> impl</w:t>
      </w:r>
      <w:r w:rsidR="00151729">
        <w:rPr>
          <w:lang w:eastAsia="zh-CN"/>
        </w:rPr>
        <w:t>y</w:t>
      </w:r>
      <w:r>
        <w:rPr>
          <w:lang w:eastAsia="zh-CN"/>
        </w:rPr>
        <w:t xml:space="preserve"> that</w:t>
      </w:r>
      <w:r w:rsidR="00EC0B3A">
        <w:rPr>
          <w:lang w:eastAsia="zh-CN"/>
        </w:rPr>
        <w:t xml:space="preserve">, </w:t>
      </w:r>
      <w:r w:rsidR="00936620">
        <w:rPr>
          <w:lang w:eastAsia="zh-CN"/>
        </w:rPr>
        <w:t>i</w:t>
      </w:r>
      <w:r w:rsidR="00936620" w:rsidRPr="00936620">
        <w:rPr>
          <w:lang w:eastAsia="zh-CN"/>
        </w:rPr>
        <w:t xml:space="preserve">f a BWP-specific </w:t>
      </w:r>
      <w:r w:rsidR="00936620" w:rsidRPr="00936620">
        <w:rPr>
          <w:i/>
          <w:iCs/>
          <w:lang w:eastAsia="zh-CN"/>
        </w:rPr>
        <w:t>servingCellMO</w:t>
      </w:r>
      <w:r w:rsidR="00936620" w:rsidRPr="00936620">
        <w:rPr>
          <w:lang w:eastAsia="zh-CN"/>
        </w:rPr>
        <w:t xml:space="preserve"> is configured</w:t>
      </w:r>
      <w:r w:rsidR="00936620">
        <w:rPr>
          <w:lang w:eastAsia="zh-CN"/>
        </w:rPr>
        <w:t>,</w:t>
      </w:r>
      <w:r w:rsidR="00936620" w:rsidRPr="00936620">
        <w:rPr>
          <w:lang w:eastAsia="zh-CN"/>
        </w:rPr>
        <w:t xml:space="preserve"> </w:t>
      </w:r>
      <w:r w:rsidR="00851CC9">
        <w:rPr>
          <w:lang w:eastAsia="zh-CN"/>
        </w:rPr>
        <w:t xml:space="preserve">then </w:t>
      </w:r>
      <w:r w:rsidR="001126F4" w:rsidRPr="001126F4">
        <w:rPr>
          <w:lang w:eastAsia="zh-CN"/>
        </w:rPr>
        <w:t xml:space="preserve">the reference SSB to define intra-frequency measurements </w:t>
      </w:r>
      <w:r w:rsidR="00EC0B3A">
        <w:rPr>
          <w:lang w:eastAsia="zh-CN"/>
        </w:rPr>
        <w:t>is</w:t>
      </w:r>
      <w:r w:rsidR="001126F4" w:rsidRPr="001126F4">
        <w:rPr>
          <w:lang w:eastAsia="zh-CN"/>
        </w:rPr>
        <w:t xml:space="preserve"> associated with the UE active BWP</w:t>
      </w:r>
      <w:r w:rsidR="00851CC9">
        <w:rPr>
          <w:lang w:eastAsia="zh-CN"/>
        </w:rPr>
        <w:t xml:space="preserve">. </w:t>
      </w:r>
      <w:r w:rsidR="001126F4" w:rsidRPr="001126F4">
        <w:rPr>
          <w:lang w:eastAsia="zh-CN"/>
        </w:rPr>
        <w:t>When the UE switches the active BWP, the reference SSB may change</w:t>
      </w:r>
      <w:r w:rsidR="00501C94">
        <w:rPr>
          <w:lang w:eastAsia="zh-CN"/>
        </w:rPr>
        <w:t xml:space="preserve">, implying that </w:t>
      </w:r>
      <w:r w:rsidR="001126F4" w:rsidRPr="001126F4">
        <w:rPr>
          <w:lang w:eastAsia="zh-CN"/>
        </w:rPr>
        <w:t>the neighbor cell measurement type may change from intra-frequency to inter-frequency and vice versa</w:t>
      </w:r>
      <w:r w:rsidR="00501C94">
        <w:rPr>
          <w:lang w:eastAsia="zh-CN"/>
        </w:rPr>
        <w:t xml:space="preserve">. </w:t>
      </w:r>
      <w:r w:rsidR="001126F4" w:rsidRPr="001126F4">
        <w:rPr>
          <w:lang w:eastAsia="zh-CN"/>
        </w:rPr>
        <w:t>Additionally, whether a MG is needed or not to perform the measurements may also change</w:t>
      </w:r>
      <w:r w:rsidR="004853D8">
        <w:rPr>
          <w:lang w:eastAsia="zh-CN"/>
        </w:rPr>
        <w:t>.</w:t>
      </w:r>
      <w:r>
        <w:rPr>
          <w:lang w:eastAsia="zh-CN"/>
        </w:rPr>
        <w:t xml:space="preserve"> </w:t>
      </w:r>
    </w:p>
    <w:p w14:paraId="2ED86162" w14:textId="14A23FA7" w:rsidR="00D93142" w:rsidRDefault="0071337D" w:rsidP="0071337D">
      <w:pPr>
        <w:jc w:val="center"/>
        <w:rPr>
          <w:lang w:eastAsia="zh-CN"/>
        </w:rPr>
      </w:pPr>
      <w:r>
        <w:rPr>
          <w:noProof/>
          <w:lang w:eastAsia="zh-CN"/>
        </w:rPr>
        <w:drawing>
          <wp:inline distT="0" distB="0" distL="0" distR="0" wp14:anchorId="15A52CF7" wp14:editId="48311A06">
            <wp:extent cx="3727818" cy="1877786"/>
            <wp:effectExtent l="0" t="0" r="0" b="8255"/>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5157" b="31245"/>
                    <a:stretch/>
                  </pic:blipFill>
                  <pic:spPr bwMode="auto">
                    <a:xfrm>
                      <a:off x="0" y="0"/>
                      <a:ext cx="3728685" cy="1878223"/>
                    </a:xfrm>
                    <a:prstGeom prst="rect">
                      <a:avLst/>
                    </a:prstGeom>
                    <a:noFill/>
                    <a:ln>
                      <a:noFill/>
                    </a:ln>
                    <a:extLst>
                      <a:ext uri="{53640926-AAD7-44D8-BBD7-CCE9431645EC}">
                        <a14:shadowObscured xmlns:a14="http://schemas.microsoft.com/office/drawing/2010/main"/>
                      </a:ext>
                    </a:extLst>
                  </pic:spPr>
                </pic:pic>
              </a:graphicData>
            </a:graphic>
          </wp:inline>
        </w:drawing>
      </w:r>
    </w:p>
    <w:p w14:paraId="5043926C" w14:textId="25580688" w:rsidR="0071337D" w:rsidRDefault="0071337D" w:rsidP="001126F4">
      <w:pPr>
        <w:rPr>
          <w:lang w:eastAsia="zh-CN"/>
        </w:rPr>
      </w:pPr>
    </w:p>
    <w:p w14:paraId="1D6727EF" w14:textId="7BA646E9" w:rsidR="0071337D" w:rsidRDefault="0071337D" w:rsidP="001126F4">
      <w:pPr>
        <w:rPr>
          <w:lang w:eastAsia="zh-CN"/>
        </w:rPr>
      </w:pPr>
    </w:p>
    <w:p w14:paraId="6307B89A" w14:textId="77777777" w:rsidR="00540D33" w:rsidRDefault="00FF3032" w:rsidP="001126F4">
      <w:pPr>
        <w:rPr>
          <w:lang w:eastAsia="zh-CN"/>
        </w:rPr>
      </w:pPr>
      <w:r>
        <w:rPr>
          <w:lang w:eastAsia="zh-CN"/>
        </w:rPr>
        <w:t xml:space="preserve">For example, in the above scenario, </w:t>
      </w:r>
    </w:p>
    <w:p w14:paraId="08635444" w14:textId="5D7C7465" w:rsidR="0071337D" w:rsidRPr="0046494B" w:rsidRDefault="00F24533" w:rsidP="00540D33">
      <w:pPr>
        <w:pStyle w:val="ListParagraph"/>
        <w:numPr>
          <w:ilvl w:val="0"/>
          <w:numId w:val="31"/>
        </w:numPr>
        <w:rPr>
          <w:rFonts w:eastAsia="MS Mincho"/>
          <w:sz w:val="20"/>
          <w:szCs w:val="20"/>
          <w:lang w:val="en-GB" w:eastAsia="zh-CN"/>
        </w:rPr>
      </w:pPr>
      <w:r w:rsidRPr="0046494B">
        <w:rPr>
          <w:rFonts w:eastAsia="MS Mincho"/>
          <w:sz w:val="20"/>
          <w:szCs w:val="20"/>
          <w:lang w:val="en-GB" w:eastAsia="zh-CN"/>
        </w:rPr>
        <w:t>when the UE switches from BWP</w:t>
      </w:r>
      <w:r w:rsidR="00DF07D7" w:rsidRPr="0046494B">
        <w:rPr>
          <w:rFonts w:eastAsia="MS Mincho"/>
          <w:sz w:val="20"/>
          <w:szCs w:val="20"/>
          <w:lang w:val="en-GB" w:eastAsia="zh-CN"/>
        </w:rPr>
        <w:t>2 to BWP3</w:t>
      </w:r>
      <w:r w:rsidR="00540D33" w:rsidRPr="0046494B">
        <w:rPr>
          <w:rFonts w:eastAsia="MS Mincho"/>
          <w:sz w:val="20"/>
          <w:szCs w:val="20"/>
          <w:lang w:val="en-GB" w:eastAsia="zh-CN"/>
        </w:rPr>
        <w:t>, the MO for NCell</w:t>
      </w:r>
      <w:r w:rsidR="00A444B1" w:rsidRPr="0046494B">
        <w:rPr>
          <w:rFonts w:eastAsia="MS Mincho"/>
          <w:sz w:val="20"/>
          <w:szCs w:val="20"/>
          <w:lang w:val="en-GB" w:eastAsia="zh-CN"/>
        </w:rPr>
        <w:t>1</w:t>
      </w:r>
      <w:r w:rsidR="00540D33" w:rsidRPr="0046494B">
        <w:rPr>
          <w:rFonts w:eastAsia="MS Mincho"/>
          <w:sz w:val="20"/>
          <w:szCs w:val="20"/>
          <w:lang w:val="en-GB" w:eastAsia="zh-CN"/>
        </w:rPr>
        <w:t xml:space="preserve"> changes from intra-freq MO </w:t>
      </w:r>
      <w:r w:rsidR="005F2F0C" w:rsidRPr="0046494B">
        <w:rPr>
          <w:rFonts w:eastAsia="MS Mincho"/>
          <w:sz w:val="20"/>
          <w:szCs w:val="20"/>
          <w:lang w:val="en-GB" w:eastAsia="zh-CN"/>
        </w:rPr>
        <w:t xml:space="preserve">(with gaps) </w:t>
      </w:r>
      <w:r w:rsidR="00540D33" w:rsidRPr="0046494B">
        <w:rPr>
          <w:rFonts w:eastAsia="MS Mincho"/>
          <w:sz w:val="20"/>
          <w:szCs w:val="20"/>
          <w:lang w:val="en-GB" w:eastAsia="zh-CN"/>
        </w:rPr>
        <w:t>to inter-freq MO</w:t>
      </w:r>
      <w:r w:rsidR="005F2F0C" w:rsidRPr="0046494B">
        <w:rPr>
          <w:rFonts w:eastAsia="MS Mincho"/>
          <w:sz w:val="20"/>
          <w:szCs w:val="20"/>
          <w:lang w:val="en-GB" w:eastAsia="zh-CN"/>
        </w:rPr>
        <w:t xml:space="preserve"> (with gaps)</w:t>
      </w:r>
    </w:p>
    <w:p w14:paraId="34A9AAF1" w14:textId="0A6D4228" w:rsidR="005F2F0C" w:rsidRPr="0046494B" w:rsidRDefault="00872051" w:rsidP="00540D33">
      <w:pPr>
        <w:pStyle w:val="ListParagraph"/>
        <w:numPr>
          <w:ilvl w:val="0"/>
          <w:numId w:val="31"/>
        </w:numPr>
        <w:rPr>
          <w:rFonts w:eastAsia="MS Mincho"/>
          <w:sz w:val="20"/>
          <w:szCs w:val="20"/>
          <w:lang w:val="en-GB" w:eastAsia="zh-CN"/>
        </w:rPr>
      </w:pPr>
      <w:r w:rsidRPr="0046494B">
        <w:rPr>
          <w:rFonts w:eastAsia="MS Mincho"/>
          <w:sz w:val="20"/>
          <w:szCs w:val="20"/>
          <w:lang w:val="en-GB" w:eastAsia="zh-CN"/>
        </w:rPr>
        <w:t xml:space="preserve">when the UE switches from BWP3 to BWP1, the MO for NCell1 changes from </w:t>
      </w:r>
      <w:r w:rsidR="00EC30F1" w:rsidRPr="0046494B">
        <w:rPr>
          <w:rFonts w:eastAsia="MS Mincho"/>
          <w:sz w:val="20"/>
          <w:szCs w:val="20"/>
          <w:lang w:val="en-GB" w:eastAsia="zh-CN"/>
        </w:rPr>
        <w:t>inter-freq</w:t>
      </w:r>
      <w:r w:rsidR="00236A1A" w:rsidRPr="0046494B">
        <w:rPr>
          <w:rFonts w:eastAsia="MS Mincho"/>
          <w:sz w:val="20"/>
          <w:szCs w:val="20"/>
          <w:lang w:val="en-GB" w:eastAsia="zh-CN"/>
        </w:rPr>
        <w:t xml:space="preserve"> (with gaps) to intra-freq (without gaps)</w:t>
      </w:r>
    </w:p>
    <w:p w14:paraId="1C8FBE38" w14:textId="66090DCF" w:rsidR="0046494B" w:rsidRPr="0046494B" w:rsidRDefault="0046494B" w:rsidP="00540D33">
      <w:pPr>
        <w:pStyle w:val="ListParagraph"/>
        <w:numPr>
          <w:ilvl w:val="0"/>
          <w:numId w:val="31"/>
        </w:numPr>
        <w:rPr>
          <w:rFonts w:eastAsia="MS Mincho"/>
          <w:sz w:val="20"/>
          <w:szCs w:val="20"/>
          <w:lang w:val="en-GB" w:eastAsia="zh-CN"/>
        </w:rPr>
      </w:pPr>
      <w:r w:rsidRPr="0046494B">
        <w:rPr>
          <w:rFonts w:eastAsia="MS Mincho"/>
          <w:sz w:val="20"/>
          <w:szCs w:val="20"/>
          <w:lang w:val="en-GB" w:eastAsia="zh-CN"/>
        </w:rPr>
        <w:t>when the UE switches from BWP2 to BWP1, the MO for NCell1 changes from intra-freq (with gaps) to intra-freq (without gaps)</w:t>
      </w:r>
    </w:p>
    <w:p w14:paraId="5FDB5342" w14:textId="7C15EEC7" w:rsidR="0071337D" w:rsidRDefault="0071337D" w:rsidP="001126F4">
      <w:pPr>
        <w:rPr>
          <w:lang w:eastAsia="zh-CN"/>
        </w:rPr>
      </w:pPr>
    </w:p>
    <w:p w14:paraId="70764665" w14:textId="04778582" w:rsidR="0071337D" w:rsidRDefault="0071337D" w:rsidP="001126F4">
      <w:pPr>
        <w:rPr>
          <w:lang w:eastAsia="zh-CN"/>
        </w:rPr>
      </w:pPr>
    </w:p>
    <w:p w14:paraId="78498698" w14:textId="77777777" w:rsidR="0071337D" w:rsidRDefault="0071337D" w:rsidP="001126F4">
      <w:pPr>
        <w:rPr>
          <w:lang w:eastAsia="zh-CN"/>
        </w:rPr>
      </w:pPr>
    </w:p>
    <w:p w14:paraId="3EB2CFFD" w14:textId="48E23D4B" w:rsidR="00664E79" w:rsidRPr="00404F8C" w:rsidRDefault="00B70EC2" w:rsidP="00A64946">
      <w:pPr>
        <w:rPr>
          <w:b/>
          <w:bCs/>
          <w:lang w:eastAsia="zh-CN"/>
        </w:rPr>
      </w:pPr>
      <w:r w:rsidRPr="00404F8C">
        <w:rPr>
          <w:b/>
          <w:bCs/>
          <w:lang w:eastAsia="zh-CN"/>
        </w:rPr>
        <w:t xml:space="preserve">Observation 1: If </w:t>
      </w:r>
      <w:r w:rsidRPr="00404F8C">
        <w:rPr>
          <w:b/>
          <w:bCs/>
        </w:rPr>
        <w:t>a BWP-specific</w:t>
      </w:r>
      <w:r w:rsidRPr="00404F8C">
        <w:rPr>
          <w:b/>
          <w:bCs/>
          <w:i/>
          <w:iCs/>
        </w:rPr>
        <w:t xml:space="preserve"> servingCellMO</w:t>
      </w:r>
      <w:r w:rsidRPr="00404F8C">
        <w:rPr>
          <w:b/>
          <w:bCs/>
        </w:rPr>
        <w:t xml:space="preserve"> is configured</w:t>
      </w:r>
      <w:r w:rsidR="00524094" w:rsidRPr="00404F8C">
        <w:rPr>
          <w:b/>
          <w:bCs/>
        </w:rPr>
        <w:t>,</w:t>
      </w:r>
      <w:r w:rsidRPr="00404F8C">
        <w:rPr>
          <w:b/>
          <w:bCs/>
        </w:rPr>
        <w:t xml:space="preserve"> </w:t>
      </w:r>
      <w:r w:rsidRPr="00404F8C">
        <w:rPr>
          <w:b/>
          <w:bCs/>
          <w:lang w:eastAsia="zh-CN"/>
        </w:rPr>
        <w:t>a measurement type for a particular frequency layer may change from intra-frequency to inter-frequency</w:t>
      </w:r>
      <w:r w:rsidR="00524094" w:rsidRPr="00404F8C">
        <w:rPr>
          <w:b/>
          <w:bCs/>
          <w:lang w:eastAsia="zh-CN"/>
        </w:rPr>
        <w:t>,</w:t>
      </w:r>
      <w:r w:rsidRPr="00404F8C">
        <w:rPr>
          <w:b/>
          <w:bCs/>
          <w:lang w:eastAsia="zh-CN"/>
        </w:rPr>
        <w:t xml:space="preserve"> and vice versa</w:t>
      </w:r>
      <w:r w:rsidR="00524094" w:rsidRPr="00404F8C">
        <w:rPr>
          <w:b/>
          <w:bCs/>
          <w:lang w:eastAsia="zh-CN"/>
        </w:rPr>
        <w:t>,</w:t>
      </w:r>
      <w:r w:rsidRPr="00404F8C">
        <w:rPr>
          <w:b/>
          <w:bCs/>
          <w:lang w:eastAsia="zh-CN"/>
        </w:rPr>
        <w:t xml:space="preserve"> during</w:t>
      </w:r>
      <w:r w:rsidR="00524094" w:rsidRPr="00404F8C">
        <w:rPr>
          <w:b/>
          <w:bCs/>
          <w:lang w:eastAsia="zh-CN"/>
        </w:rPr>
        <w:t xml:space="preserve"> a</w:t>
      </w:r>
      <w:r w:rsidRPr="00404F8C">
        <w:rPr>
          <w:b/>
          <w:bCs/>
          <w:lang w:eastAsia="zh-CN"/>
        </w:rPr>
        <w:t xml:space="preserve"> BWP switch</w:t>
      </w:r>
      <w:r w:rsidR="00524094" w:rsidRPr="00404F8C">
        <w:rPr>
          <w:b/>
          <w:bCs/>
          <w:lang w:eastAsia="zh-CN"/>
        </w:rPr>
        <w:t>.</w:t>
      </w:r>
    </w:p>
    <w:p w14:paraId="2A5636A5" w14:textId="6B75FA4D" w:rsidR="003F433D" w:rsidRDefault="004853D8" w:rsidP="00A64946">
      <w:pPr>
        <w:rPr>
          <w:lang w:eastAsia="zh-CN"/>
        </w:rPr>
      </w:pPr>
      <w:r>
        <w:rPr>
          <w:lang w:eastAsia="zh-CN"/>
        </w:rPr>
        <w:t>Since UE requirements for each measurement type may be differen</w:t>
      </w:r>
      <w:r w:rsidR="00CC3085">
        <w:rPr>
          <w:lang w:eastAsia="zh-CN"/>
        </w:rPr>
        <w:t>t</w:t>
      </w:r>
      <w:r>
        <w:rPr>
          <w:lang w:eastAsia="zh-CN"/>
        </w:rPr>
        <w:t xml:space="preserve">, </w:t>
      </w:r>
      <w:r w:rsidR="0054022B">
        <w:rPr>
          <w:lang w:eastAsia="zh-CN"/>
        </w:rPr>
        <w:t xml:space="preserve">RAN4 needs to define </w:t>
      </w:r>
      <w:r w:rsidR="00FC35AD">
        <w:rPr>
          <w:lang w:eastAsia="zh-CN"/>
        </w:rPr>
        <w:t>minimum requirements for such transitions.</w:t>
      </w:r>
    </w:p>
    <w:p w14:paraId="39EF8680" w14:textId="5AF5C049" w:rsidR="00E71985" w:rsidRDefault="003D3CFD" w:rsidP="00A64946">
      <w:pPr>
        <w:rPr>
          <w:b/>
          <w:bCs/>
          <w:lang w:eastAsia="zh-CN"/>
        </w:rPr>
      </w:pPr>
      <w:r>
        <w:rPr>
          <w:b/>
          <w:bCs/>
          <w:lang w:eastAsia="zh-CN"/>
        </w:rPr>
        <w:t>Proposal</w:t>
      </w:r>
      <w:r w:rsidRPr="00404F8C">
        <w:rPr>
          <w:b/>
          <w:bCs/>
          <w:lang w:eastAsia="zh-CN"/>
        </w:rPr>
        <w:t xml:space="preserve"> 1: </w:t>
      </w:r>
      <w:r>
        <w:rPr>
          <w:b/>
          <w:bCs/>
          <w:lang w:eastAsia="zh-CN"/>
        </w:rPr>
        <w:t>Define</w:t>
      </w:r>
      <w:r w:rsidR="003C154F">
        <w:rPr>
          <w:b/>
          <w:bCs/>
          <w:lang w:eastAsia="zh-CN"/>
        </w:rPr>
        <w:t xml:space="preserve"> minimum </w:t>
      </w:r>
      <w:r w:rsidR="007773B4">
        <w:rPr>
          <w:b/>
          <w:bCs/>
          <w:lang w:eastAsia="zh-CN"/>
        </w:rPr>
        <w:t xml:space="preserve">UE </w:t>
      </w:r>
      <w:r w:rsidR="003C154F">
        <w:rPr>
          <w:b/>
          <w:bCs/>
          <w:lang w:eastAsia="zh-CN"/>
        </w:rPr>
        <w:t xml:space="preserve">requirements </w:t>
      </w:r>
      <w:r w:rsidR="00544401">
        <w:rPr>
          <w:b/>
          <w:bCs/>
          <w:lang w:eastAsia="zh-CN"/>
        </w:rPr>
        <w:t>to handle</w:t>
      </w:r>
      <w:r w:rsidR="003C154F">
        <w:rPr>
          <w:b/>
          <w:bCs/>
          <w:lang w:eastAsia="zh-CN"/>
        </w:rPr>
        <w:t xml:space="preserve"> measurement type transition</w:t>
      </w:r>
      <w:r w:rsidR="007773B4">
        <w:rPr>
          <w:b/>
          <w:bCs/>
          <w:lang w:eastAsia="zh-CN"/>
        </w:rPr>
        <w:t xml:space="preserve"> from intra-frequency</w:t>
      </w:r>
      <w:r w:rsidR="00544401">
        <w:rPr>
          <w:b/>
          <w:bCs/>
          <w:lang w:eastAsia="zh-CN"/>
        </w:rPr>
        <w:t xml:space="preserve"> (with/without MGs)</w:t>
      </w:r>
      <w:r w:rsidR="007773B4">
        <w:rPr>
          <w:b/>
          <w:bCs/>
          <w:lang w:eastAsia="zh-CN"/>
        </w:rPr>
        <w:t xml:space="preserve"> to inter-frequency</w:t>
      </w:r>
      <w:r w:rsidR="00544401">
        <w:rPr>
          <w:b/>
          <w:bCs/>
          <w:lang w:eastAsia="zh-CN"/>
        </w:rPr>
        <w:t xml:space="preserve"> (with/without MGs)</w:t>
      </w:r>
      <w:r w:rsidR="007773B4">
        <w:rPr>
          <w:b/>
          <w:bCs/>
          <w:lang w:eastAsia="zh-CN"/>
        </w:rPr>
        <w:t xml:space="preserve"> and vice versa</w:t>
      </w:r>
      <w:r w:rsidR="005A46B1">
        <w:rPr>
          <w:b/>
          <w:bCs/>
          <w:lang w:eastAsia="zh-CN"/>
        </w:rPr>
        <w:t>, when</w:t>
      </w:r>
      <w:r w:rsidRPr="00404F8C">
        <w:rPr>
          <w:b/>
          <w:bCs/>
        </w:rPr>
        <w:t xml:space="preserve"> BWP-specific</w:t>
      </w:r>
      <w:r w:rsidRPr="00404F8C">
        <w:rPr>
          <w:b/>
          <w:bCs/>
          <w:i/>
          <w:iCs/>
        </w:rPr>
        <w:t xml:space="preserve"> servingCellMO</w:t>
      </w:r>
      <w:r w:rsidRPr="00404F8C">
        <w:rPr>
          <w:b/>
          <w:bCs/>
        </w:rPr>
        <w:t xml:space="preserve"> is configured</w:t>
      </w:r>
      <w:r w:rsidRPr="00404F8C">
        <w:rPr>
          <w:b/>
          <w:bCs/>
          <w:lang w:eastAsia="zh-CN"/>
        </w:rPr>
        <w:t>.</w:t>
      </w:r>
    </w:p>
    <w:p w14:paraId="20DE98E6" w14:textId="6A8B037E" w:rsidR="007757AA" w:rsidRPr="006E24E6" w:rsidRDefault="00167F22" w:rsidP="00A64946">
      <w:pPr>
        <w:rPr>
          <w:lang w:eastAsia="zh-CN"/>
        </w:rPr>
      </w:pPr>
      <w:r>
        <w:rPr>
          <w:lang w:eastAsia="zh-CN"/>
        </w:rPr>
        <w:t>As mentioned earlier, the number of cells/SSBs to monitor</w:t>
      </w:r>
      <w:r w:rsidR="00BD2925">
        <w:rPr>
          <w:lang w:eastAsia="zh-CN"/>
        </w:rPr>
        <w:t xml:space="preserve"> for a frequency layer</w:t>
      </w:r>
      <w:r>
        <w:rPr>
          <w:lang w:eastAsia="zh-CN"/>
        </w:rPr>
        <w:t xml:space="preserve"> may change wh</w:t>
      </w:r>
      <w:r w:rsidR="00BD2925">
        <w:rPr>
          <w:lang w:eastAsia="zh-CN"/>
        </w:rPr>
        <w:t xml:space="preserve">en the frequency layer gets </w:t>
      </w:r>
      <w:r w:rsidR="00646E7E">
        <w:rPr>
          <w:lang w:eastAsia="zh-CN"/>
        </w:rPr>
        <w:t xml:space="preserve">reclassified as intra-freq from inter-freq and vice versa. During the transition from intra-frequency to inter frequency, the UE is required to monitor </w:t>
      </w:r>
      <w:proofErr w:type="gramStart"/>
      <w:r w:rsidR="00646E7E">
        <w:rPr>
          <w:lang w:eastAsia="zh-CN"/>
        </w:rPr>
        <w:t>less</w:t>
      </w:r>
      <w:proofErr w:type="gramEnd"/>
      <w:r w:rsidR="00165AA0">
        <w:rPr>
          <w:lang w:eastAsia="zh-CN"/>
        </w:rPr>
        <w:t xml:space="preserve"> number of cells/SSBs at the end of the BWP switch</w:t>
      </w:r>
      <w:r w:rsidR="00A77FCB">
        <w:rPr>
          <w:lang w:eastAsia="zh-CN"/>
        </w:rPr>
        <w:t xml:space="preserve"> and the other way around for inter-fr</w:t>
      </w:r>
      <w:r w:rsidR="00F37F79">
        <w:rPr>
          <w:lang w:eastAsia="zh-CN"/>
        </w:rPr>
        <w:t xml:space="preserve">eq to intra-freq transition. </w:t>
      </w:r>
      <w:r w:rsidR="00C04FFD">
        <w:rPr>
          <w:lang w:eastAsia="zh-CN"/>
        </w:rPr>
        <w:t xml:space="preserve">How UE stores the measurement samples for intra and inter freq Mos is very much UE dependent, and it may </w:t>
      </w:r>
      <w:r w:rsidR="001043F8">
        <w:rPr>
          <w:lang w:eastAsia="zh-CN"/>
        </w:rPr>
        <w:t xml:space="preserve">be very challenging for the UE to </w:t>
      </w:r>
      <w:r w:rsidR="00F5193F">
        <w:rPr>
          <w:lang w:eastAsia="zh-CN"/>
        </w:rPr>
        <w:t xml:space="preserve">adapt to such transitions during a measurement period. We think, </w:t>
      </w:r>
      <w:r w:rsidR="00CE227F">
        <w:rPr>
          <w:lang w:eastAsia="zh-CN"/>
        </w:rPr>
        <w:t xml:space="preserve">the best way to handle this situation would be that the UE stops any ongoing measurements and </w:t>
      </w:r>
      <w:r w:rsidR="000653AB">
        <w:rPr>
          <w:lang w:eastAsia="zh-CN"/>
        </w:rPr>
        <w:t>re</w:t>
      </w:r>
      <w:r w:rsidR="00CE227F">
        <w:rPr>
          <w:lang w:eastAsia="zh-CN"/>
        </w:rPr>
        <w:t xml:space="preserve">starts the </w:t>
      </w:r>
      <w:r w:rsidR="006D719D">
        <w:rPr>
          <w:lang w:eastAsia="zh-CN"/>
        </w:rPr>
        <w:t>measurement process (number of cells/SSBs to be measured and cell identification/measurement periods)</w:t>
      </w:r>
      <w:r w:rsidR="000653AB">
        <w:rPr>
          <w:lang w:eastAsia="zh-CN"/>
        </w:rPr>
        <w:t xml:space="preserve"> based on the configured MOs and their respective measurement types</w:t>
      </w:r>
      <w:r w:rsidR="00C22F8A">
        <w:rPr>
          <w:lang w:eastAsia="zh-CN"/>
        </w:rPr>
        <w:t xml:space="preserve"> according to the new reference SSB (which may be determined by </w:t>
      </w:r>
      <w:r w:rsidR="00C22F8A" w:rsidRPr="005B7861">
        <w:rPr>
          <w:i/>
          <w:iCs/>
          <w:lang w:eastAsia="zh-CN"/>
        </w:rPr>
        <w:t>serving</w:t>
      </w:r>
      <w:r w:rsidR="005B7861" w:rsidRPr="005B7861">
        <w:rPr>
          <w:i/>
          <w:iCs/>
          <w:lang w:eastAsia="zh-CN"/>
        </w:rPr>
        <w:t>CellMO</w:t>
      </w:r>
      <w:r w:rsidR="005B7861">
        <w:rPr>
          <w:lang w:eastAsia="zh-CN"/>
        </w:rPr>
        <w:t xml:space="preserve"> or BWP-specific </w:t>
      </w:r>
      <w:r w:rsidR="005B7861" w:rsidRPr="005B7861">
        <w:rPr>
          <w:i/>
          <w:iCs/>
          <w:lang w:eastAsia="zh-CN"/>
        </w:rPr>
        <w:t>servingCellMO</w:t>
      </w:r>
      <w:r w:rsidR="00C22F8A">
        <w:rPr>
          <w:lang w:eastAsia="zh-CN"/>
        </w:rPr>
        <w:t>)</w:t>
      </w:r>
      <w:r w:rsidR="005B7861">
        <w:rPr>
          <w:lang w:eastAsia="zh-CN"/>
        </w:rPr>
        <w:t>.</w:t>
      </w:r>
    </w:p>
    <w:p w14:paraId="143B23AE" w14:textId="76833051" w:rsidR="00634E9E" w:rsidRPr="00115D85" w:rsidRDefault="00B0674D" w:rsidP="00AC1830">
      <w:pPr>
        <w:rPr>
          <w:lang w:eastAsia="zh-CN"/>
        </w:rPr>
      </w:pPr>
      <w:r>
        <w:rPr>
          <w:b/>
          <w:bCs/>
          <w:lang w:eastAsia="zh-CN"/>
        </w:rPr>
        <w:t>Proposal</w:t>
      </w:r>
      <w:r w:rsidRPr="00404F8C">
        <w:rPr>
          <w:b/>
          <w:bCs/>
          <w:lang w:eastAsia="zh-CN"/>
        </w:rPr>
        <w:t xml:space="preserve"> </w:t>
      </w:r>
      <w:r>
        <w:rPr>
          <w:b/>
          <w:bCs/>
          <w:lang w:eastAsia="zh-CN"/>
        </w:rPr>
        <w:t>2</w:t>
      </w:r>
      <w:r w:rsidRPr="00404F8C">
        <w:rPr>
          <w:b/>
          <w:bCs/>
          <w:lang w:eastAsia="zh-CN"/>
        </w:rPr>
        <w:t>:</w:t>
      </w:r>
      <w:r>
        <w:rPr>
          <w:b/>
          <w:bCs/>
          <w:lang w:eastAsia="zh-CN"/>
        </w:rPr>
        <w:t xml:space="preserve"> </w:t>
      </w:r>
      <w:r w:rsidR="000C122B" w:rsidRPr="00B0674D">
        <w:rPr>
          <w:b/>
          <w:bCs/>
          <w:lang w:eastAsia="zh-CN"/>
        </w:rPr>
        <w:t xml:space="preserve">For </w:t>
      </w:r>
      <w:r w:rsidR="00A16866" w:rsidRPr="00B0674D">
        <w:rPr>
          <w:b/>
          <w:bCs/>
          <w:lang w:eastAsia="zh-CN"/>
        </w:rPr>
        <w:t xml:space="preserve">a </w:t>
      </w:r>
      <w:r w:rsidR="000C122B" w:rsidRPr="00B0674D">
        <w:rPr>
          <w:b/>
          <w:bCs/>
          <w:lang w:eastAsia="zh-CN"/>
        </w:rPr>
        <w:t>frequency layer</w:t>
      </w:r>
      <w:r w:rsidR="00D078B8" w:rsidRPr="00B0674D">
        <w:rPr>
          <w:b/>
          <w:bCs/>
          <w:lang w:eastAsia="zh-CN"/>
        </w:rPr>
        <w:t xml:space="preserve"> whose classification </w:t>
      </w:r>
      <w:r w:rsidR="00630020" w:rsidRPr="00B0674D">
        <w:rPr>
          <w:b/>
          <w:bCs/>
          <w:lang w:eastAsia="zh-CN"/>
        </w:rPr>
        <w:t xml:space="preserve">(intra/inter frequency) </w:t>
      </w:r>
      <w:r w:rsidR="00D078B8" w:rsidRPr="00B0674D">
        <w:rPr>
          <w:b/>
          <w:bCs/>
          <w:lang w:eastAsia="zh-CN"/>
        </w:rPr>
        <w:t>changes due to the BWP switch</w:t>
      </w:r>
      <w:r w:rsidR="000C122B" w:rsidRPr="00B0674D">
        <w:rPr>
          <w:b/>
          <w:bCs/>
          <w:lang w:eastAsia="zh-CN"/>
        </w:rPr>
        <w:t>,</w:t>
      </w:r>
      <w:r w:rsidR="002B3208" w:rsidRPr="00B0674D">
        <w:rPr>
          <w:b/>
          <w:bCs/>
          <w:lang w:eastAsia="zh-CN"/>
        </w:rPr>
        <w:t xml:space="preserve"> UE should start measuring the number of cells/SSBs according to the new </w:t>
      </w:r>
      <w:r w:rsidR="00AB70BD" w:rsidRPr="00B0674D">
        <w:rPr>
          <w:b/>
          <w:bCs/>
          <w:lang w:eastAsia="zh-CN"/>
        </w:rPr>
        <w:t>classification (</w:t>
      </w:r>
      <w:r w:rsidR="00580F03" w:rsidRPr="00B0674D">
        <w:rPr>
          <w:b/>
          <w:bCs/>
          <w:lang w:eastAsia="zh-CN"/>
        </w:rPr>
        <w:t>based on the relationship between the new reference SSB and</w:t>
      </w:r>
      <w:r w:rsidRPr="00B0674D">
        <w:rPr>
          <w:b/>
          <w:bCs/>
          <w:lang w:eastAsia="zh-CN"/>
        </w:rPr>
        <w:t xml:space="preserve"> </w:t>
      </w:r>
      <w:r w:rsidR="00080007">
        <w:rPr>
          <w:b/>
          <w:bCs/>
          <w:lang w:eastAsia="zh-CN"/>
        </w:rPr>
        <w:t>configured</w:t>
      </w:r>
      <w:r w:rsidRPr="00B0674D">
        <w:rPr>
          <w:b/>
          <w:bCs/>
          <w:lang w:eastAsia="zh-CN"/>
        </w:rPr>
        <w:t xml:space="preserve"> MO</w:t>
      </w:r>
      <w:r w:rsidR="00AB70BD" w:rsidRPr="00B0674D">
        <w:rPr>
          <w:b/>
          <w:bCs/>
          <w:lang w:eastAsia="zh-CN"/>
        </w:rPr>
        <w:t>)</w:t>
      </w:r>
      <w:r w:rsidRPr="00B0674D">
        <w:rPr>
          <w:b/>
          <w:bCs/>
          <w:lang w:eastAsia="zh-CN"/>
        </w:rPr>
        <w:t>, at the end of the BWP switch</w:t>
      </w:r>
      <w:r>
        <w:rPr>
          <w:lang w:eastAsia="zh-CN"/>
        </w:rPr>
        <w:t>.</w:t>
      </w:r>
    </w:p>
    <w:p w14:paraId="7B9F1108" w14:textId="36CC5A2A" w:rsidR="00AA619A" w:rsidRDefault="00B0674D" w:rsidP="00DA25EC">
      <w:pPr>
        <w:rPr>
          <w:b/>
          <w:bCs/>
          <w:lang w:eastAsia="zh-CN"/>
        </w:rPr>
      </w:pPr>
      <w:r>
        <w:rPr>
          <w:b/>
          <w:bCs/>
          <w:lang w:eastAsia="zh-CN"/>
        </w:rPr>
        <w:t>Proposal</w:t>
      </w:r>
      <w:r w:rsidRPr="00404F8C">
        <w:rPr>
          <w:b/>
          <w:bCs/>
          <w:lang w:eastAsia="zh-CN"/>
        </w:rPr>
        <w:t xml:space="preserve"> </w:t>
      </w:r>
      <w:r w:rsidR="007360B1">
        <w:rPr>
          <w:b/>
          <w:bCs/>
          <w:lang w:eastAsia="zh-CN"/>
        </w:rPr>
        <w:t>3</w:t>
      </w:r>
      <w:r w:rsidRPr="00404F8C">
        <w:rPr>
          <w:b/>
          <w:bCs/>
          <w:lang w:eastAsia="zh-CN"/>
        </w:rPr>
        <w:t xml:space="preserve">: </w:t>
      </w:r>
      <w:r w:rsidR="007360B1" w:rsidRPr="00B0674D">
        <w:rPr>
          <w:b/>
          <w:bCs/>
          <w:lang w:eastAsia="zh-CN"/>
        </w:rPr>
        <w:t>For a frequency layer whose classification (intra/inter frequency</w:t>
      </w:r>
      <w:r w:rsidR="002C4E27">
        <w:rPr>
          <w:b/>
          <w:bCs/>
          <w:lang w:eastAsia="zh-CN"/>
        </w:rPr>
        <w:t xml:space="preserve"> measurements with/without MGs</w:t>
      </w:r>
      <w:r w:rsidR="007360B1" w:rsidRPr="00B0674D">
        <w:rPr>
          <w:b/>
          <w:bCs/>
          <w:lang w:eastAsia="zh-CN"/>
        </w:rPr>
        <w:t xml:space="preserve">) changes due to the BWP switch, </w:t>
      </w:r>
      <w:r w:rsidR="008608F8" w:rsidRPr="0001250F">
        <w:rPr>
          <w:b/>
          <w:bCs/>
          <w:u w:val="single"/>
          <w:lang w:eastAsia="zh-CN"/>
        </w:rPr>
        <w:t xml:space="preserve">starting from </w:t>
      </w:r>
      <w:r w:rsidR="008D7C5F" w:rsidRPr="0001250F">
        <w:rPr>
          <w:b/>
          <w:bCs/>
          <w:u w:val="single"/>
          <w:lang w:eastAsia="zh-CN"/>
        </w:rPr>
        <w:t>end of the BWP switch</w:t>
      </w:r>
      <w:r w:rsidR="008D7C5F">
        <w:rPr>
          <w:b/>
          <w:bCs/>
          <w:lang w:eastAsia="zh-CN"/>
        </w:rPr>
        <w:t xml:space="preserve">, the </w:t>
      </w:r>
      <w:r w:rsidR="007360B1" w:rsidRPr="00B0674D">
        <w:rPr>
          <w:b/>
          <w:bCs/>
          <w:lang w:eastAsia="zh-CN"/>
        </w:rPr>
        <w:t xml:space="preserve">UE should </w:t>
      </w:r>
      <w:r w:rsidR="00A7126C">
        <w:rPr>
          <w:b/>
          <w:bCs/>
          <w:lang w:eastAsia="zh-CN"/>
        </w:rPr>
        <w:t xml:space="preserve">be able to </w:t>
      </w:r>
      <w:r w:rsidR="00C32D34">
        <w:rPr>
          <w:b/>
          <w:bCs/>
          <w:lang w:eastAsia="zh-CN"/>
        </w:rPr>
        <w:t xml:space="preserve">perform the </w:t>
      </w:r>
      <w:r w:rsidR="00A7126C">
        <w:rPr>
          <w:b/>
          <w:bCs/>
          <w:lang w:eastAsia="zh-CN"/>
        </w:rPr>
        <w:t>measurements within the delays (cell identification and cell measurement</w:t>
      </w:r>
      <w:r w:rsidR="00121D21">
        <w:rPr>
          <w:b/>
          <w:bCs/>
          <w:lang w:eastAsia="zh-CN"/>
        </w:rPr>
        <w:t xml:space="preserve"> delays</w:t>
      </w:r>
      <w:r w:rsidR="00A7126C">
        <w:rPr>
          <w:b/>
          <w:bCs/>
          <w:lang w:eastAsia="zh-CN"/>
        </w:rPr>
        <w:t>)</w:t>
      </w:r>
      <w:r w:rsidR="007360B1" w:rsidRPr="00B0674D">
        <w:rPr>
          <w:b/>
          <w:bCs/>
          <w:lang w:eastAsia="zh-CN"/>
        </w:rPr>
        <w:t xml:space="preserve"> according to the new classification (based on the relationship between the new reference SSB and </w:t>
      </w:r>
      <w:r w:rsidR="007360B1">
        <w:rPr>
          <w:b/>
          <w:bCs/>
          <w:lang w:eastAsia="zh-CN"/>
        </w:rPr>
        <w:t>configured</w:t>
      </w:r>
      <w:r w:rsidR="007360B1" w:rsidRPr="00B0674D">
        <w:rPr>
          <w:b/>
          <w:bCs/>
          <w:lang w:eastAsia="zh-CN"/>
        </w:rPr>
        <w:t xml:space="preserve"> MO)</w:t>
      </w:r>
      <w:r w:rsidR="0001250F">
        <w:rPr>
          <w:b/>
          <w:bCs/>
          <w:lang w:eastAsia="zh-CN"/>
        </w:rPr>
        <w:t>, i.e., the measurement</w:t>
      </w:r>
      <w:r w:rsidR="00134723">
        <w:rPr>
          <w:b/>
          <w:bCs/>
          <w:lang w:eastAsia="zh-CN"/>
        </w:rPr>
        <w:t>/cell identification</w:t>
      </w:r>
      <w:r w:rsidR="0001250F">
        <w:rPr>
          <w:b/>
          <w:bCs/>
          <w:lang w:eastAsia="zh-CN"/>
        </w:rPr>
        <w:t xml:space="preserve"> period</w:t>
      </w:r>
      <w:r w:rsidR="00134723">
        <w:rPr>
          <w:b/>
          <w:bCs/>
          <w:lang w:eastAsia="zh-CN"/>
        </w:rPr>
        <w:t xml:space="preserve"> resets at the end of the BWP switch.</w:t>
      </w:r>
    </w:p>
    <w:p w14:paraId="0C1CA7DA" w14:textId="2E0C8698" w:rsidR="0098329E" w:rsidRDefault="0098329E" w:rsidP="0098329E">
      <w:pPr>
        <w:pStyle w:val="Heading1"/>
        <w:rPr>
          <w:lang w:eastAsia="zh-CN"/>
        </w:rPr>
      </w:pPr>
      <w:r>
        <w:rPr>
          <w:lang w:eastAsia="zh-CN"/>
        </w:rPr>
        <w:t>Conclusion</w:t>
      </w:r>
    </w:p>
    <w:p w14:paraId="04E8CD6C" w14:textId="77777777" w:rsidR="0098329E" w:rsidRPr="00404F8C" w:rsidRDefault="0098329E" w:rsidP="0098329E">
      <w:pPr>
        <w:rPr>
          <w:b/>
          <w:bCs/>
          <w:lang w:eastAsia="zh-CN"/>
        </w:rPr>
      </w:pPr>
      <w:r w:rsidRPr="00404F8C">
        <w:rPr>
          <w:b/>
          <w:bCs/>
          <w:lang w:eastAsia="zh-CN"/>
        </w:rPr>
        <w:t xml:space="preserve">Observation 1: If </w:t>
      </w:r>
      <w:r w:rsidRPr="00404F8C">
        <w:rPr>
          <w:b/>
          <w:bCs/>
        </w:rPr>
        <w:t>a BWP-specific</w:t>
      </w:r>
      <w:r w:rsidRPr="00404F8C">
        <w:rPr>
          <w:b/>
          <w:bCs/>
          <w:i/>
          <w:iCs/>
        </w:rPr>
        <w:t xml:space="preserve"> servingCellMO</w:t>
      </w:r>
      <w:r w:rsidRPr="00404F8C">
        <w:rPr>
          <w:b/>
          <w:bCs/>
        </w:rPr>
        <w:t xml:space="preserve"> is configured, </w:t>
      </w:r>
      <w:r w:rsidRPr="00404F8C">
        <w:rPr>
          <w:b/>
          <w:bCs/>
          <w:lang w:eastAsia="zh-CN"/>
        </w:rPr>
        <w:t>a measurement type for a particular frequency layer may change from intra-frequency to inter-frequency, and vice versa, during a BWP switch.</w:t>
      </w:r>
    </w:p>
    <w:p w14:paraId="6931FF5C" w14:textId="77777777" w:rsidR="0098329E" w:rsidRDefault="0098329E" w:rsidP="0098329E">
      <w:pPr>
        <w:rPr>
          <w:b/>
          <w:bCs/>
          <w:lang w:eastAsia="zh-CN"/>
        </w:rPr>
      </w:pPr>
      <w:r>
        <w:rPr>
          <w:b/>
          <w:bCs/>
          <w:lang w:eastAsia="zh-CN"/>
        </w:rPr>
        <w:t>Proposal</w:t>
      </w:r>
      <w:r w:rsidRPr="00404F8C">
        <w:rPr>
          <w:b/>
          <w:bCs/>
          <w:lang w:eastAsia="zh-CN"/>
        </w:rPr>
        <w:t xml:space="preserve"> 1: </w:t>
      </w:r>
      <w:r>
        <w:rPr>
          <w:b/>
          <w:bCs/>
          <w:lang w:eastAsia="zh-CN"/>
        </w:rPr>
        <w:t>Define minimum UE requirements to handle measurement type transition from intra-frequency (with/without MGs) to inter-frequency (with/without MGs) and vice versa, when</w:t>
      </w:r>
      <w:r w:rsidRPr="00404F8C">
        <w:rPr>
          <w:b/>
          <w:bCs/>
        </w:rPr>
        <w:t xml:space="preserve"> BWP-specific</w:t>
      </w:r>
      <w:r w:rsidRPr="00404F8C">
        <w:rPr>
          <w:b/>
          <w:bCs/>
          <w:i/>
          <w:iCs/>
        </w:rPr>
        <w:t xml:space="preserve"> servingCellMO</w:t>
      </w:r>
      <w:r w:rsidRPr="00404F8C">
        <w:rPr>
          <w:b/>
          <w:bCs/>
        </w:rPr>
        <w:t xml:space="preserve"> is configured</w:t>
      </w:r>
      <w:r w:rsidRPr="00404F8C">
        <w:rPr>
          <w:b/>
          <w:bCs/>
          <w:lang w:eastAsia="zh-CN"/>
        </w:rPr>
        <w:t>.</w:t>
      </w:r>
    </w:p>
    <w:p w14:paraId="1092902E" w14:textId="77777777" w:rsidR="0098329E" w:rsidRPr="00115D85" w:rsidRDefault="0098329E" w:rsidP="0098329E">
      <w:pPr>
        <w:rPr>
          <w:lang w:eastAsia="zh-CN"/>
        </w:rPr>
      </w:pPr>
      <w:r>
        <w:rPr>
          <w:b/>
          <w:bCs/>
          <w:lang w:eastAsia="zh-CN"/>
        </w:rPr>
        <w:t>Proposal</w:t>
      </w:r>
      <w:r w:rsidRPr="00404F8C">
        <w:rPr>
          <w:b/>
          <w:bCs/>
          <w:lang w:eastAsia="zh-CN"/>
        </w:rPr>
        <w:t xml:space="preserve"> </w:t>
      </w:r>
      <w:r>
        <w:rPr>
          <w:b/>
          <w:bCs/>
          <w:lang w:eastAsia="zh-CN"/>
        </w:rPr>
        <w:t>2</w:t>
      </w:r>
      <w:r w:rsidRPr="00404F8C">
        <w:rPr>
          <w:b/>
          <w:bCs/>
          <w:lang w:eastAsia="zh-CN"/>
        </w:rPr>
        <w:t>:</w:t>
      </w:r>
      <w:r>
        <w:rPr>
          <w:b/>
          <w:bCs/>
          <w:lang w:eastAsia="zh-CN"/>
        </w:rPr>
        <w:t xml:space="preserve"> </w:t>
      </w:r>
      <w:r w:rsidRPr="00B0674D">
        <w:rPr>
          <w:b/>
          <w:bCs/>
          <w:lang w:eastAsia="zh-CN"/>
        </w:rPr>
        <w:t xml:space="preserve">For a frequency layer whose classification (intra/inter frequency) changes due to the BWP switch, UE should start measuring the number of cells/SSBs according to the new classification (based on the relationship between the new reference SSB and </w:t>
      </w:r>
      <w:r>
        <w:rPr>
          <w:b/>
          <w:bCs/>
          <w:lang w:eastAsia="zh-CN"/>
        </w:rPr>
        <w:t>configured</w:t>
      </w:r>
      <w:r w:rsidRPr="00B0674D">
        <w:rPr>
          <w:b/>
          <w:bCs/>
          <w:lang w:eastAsia="zh-CN"/>
        </w:rPr>
        <w:t xml:space="preserve"> MO), at the end of the BWP switch</w:t>
      </w:r>
      <w:r>
        <w:rPr>
          <w:lang w:eastAsia="zh-CN"/>
        </w:rPr>
        <w:t>.</w:t>
      </w:r>
    </w:p>
    <w:p w14:paraId="21A979D3" w14:textId="48E3AC47" w:rsidR="0098329E" w:rsidRPr="00AD302F" w:rsidRDefault="0098329E" w:rsidP="00DA25EC">
      <w:pPr>
        <w:rPr>
          <w:b/>
          <w:bCs/>
          <w:lang w:eastAsia="zh-CN"/>
        </w:rPr>
      </w:pPr>
      <w:r>
        <w:rPr>
          <w:b/>
          <w:bCs/>
          <w:lang w:eastAsia="zh-CN"/>
        </w:rPr>
        <w:t>Proposal</w:t>
      </w:r>
      <w:r w:rsidRPr="00404F8C">
        <w:rPr>
          <w:b/>
          <w:bCs/>
          <w:lang w:eastAsia="zh-CN"/>
        </w:rPr>
        <w:t xml:space="preserve"> </w:t>
      </w:r>
      <w:r>
        <w:rPr>
          <w:b/>
          <w:bCs/>
          <w:lang w:eastAsia="zh-CN"/>
        </w:rPr>
        <w:t>3</w:t>
      </w:r>
      <w:r w:rsidRPr="00404F8C">
        <w:rPr>
          <w:b/>
          <w:bCs/>
          <w:lang w:eastAsia="zh-CN"/>
        </w:rPr>
        <w:t xml:space="preserve">: </w:t>
      </w:r>
      <w:r w:rsidRPr="00B0674D">
        <w:rPr>
          <w:b/>
          <w:bCs/>
          <w:lang w:eastAsia="zh-CN"/>
        </w:rPr>
        <w:t>For a frequency layer whose classification (intra/inter frequency</w:t>
      </w:r>
      <w:r>
        <w:rPr>
          <w:b/>
          <w:bCs/>
          <w:lang w:eastAsia="zh-CN"/>
        </w:rPr>
        <w:t xml:space="preserve"> measurements with/without MGs</w:t>
      </w:r>
      <w:r w:rsidRPr="00B0674D">
        <w:rPr>
          <w:b/>
          <w:bCs/>
          <w:lang w:eastAsia="zh-CN"/>
        </w:rPr>
        <w:t xml:space="preserve">) changes due to the BWP switch, </w:t>
      </w:r>
      <w:r w:rsidRPr="0001250F">
        <w:rPr>
          <w:b/>
          <w:bCs/>
          <w:u w:val="single"/>
          <w:lang w:eastAsia="zh-CN"/>
        </w:rPr>
        <w:t>starting from end of the BWP switch</w:t>
      </w:r>
      <w:r>
        <w:rPr>
          <w:b/>
          <w:bCs/>
          <w:lang w:eastAsia="zh-CN"/>
        </w:rPr>
        <w:t xml:space="preserve">, the </w:t>
      </w:r>
      <w:r w:rsidRPr="00B0674D">
        <w:rPr>
          <w:b/>
          <w:bCs/>
          <w:lang w:eastAsia="zh-CN"/>
        </w:rPr>
        <w:t xml:space="preserve">UE should </w:t>
      </w:r>
      <w:r>
        <w:rPr>
          <w:b/>
          <w:bCs/>
          <w:lang w:eastAsia="zh-CN"/>
        </w:rPr>
        <w:t>be able to perform the measurements within the delays (cell identification and cell measurement</w:t>
      </w:r>
      <w:r w:rsidR="00121D21">
        <w:rPr>
          <w:b/>
          <w:bCs/>
          <w:lang w:eastAsia="zh-CN"/>
        </w:rPr>
        <w:t xml:space="preserve"> delays</w:t>
      </w:r>
      <w:r>
        <w:rPr>
          <w:b/>
          <w:bCs/>
          <w:lang w:eastAsia="zh-CN"/>
        </w:rPr>
        <w:t>)</w:t>
      </w:r>
      <w:r w:rsidRPr="00B0674D">
        <w:rPr>
          <w:b/>
          <w:bCs/>
          <w:lang w:eastAsia="zh-CN"/>
        </w:rPr>
        <w:t xml:space="preserve"> according to the new classification (based on the relationship between the new reference SSB and </w:t>
      </w:r>
      <w:r>
        <w:rPr>
          <w:b/>
          <w:bCs/>
          <w:lang w:eastAsia="zh-CN"/>
        </w:rPr>
        <w:t>configured</w:t>
      </w:r>
      <w:r w:rsidRPr="00B0674D">
        <w:rPr>
          <w:b/>
          <w:bCs/>
          <w:lang w:eastAsia="zh-CN"/>
        </w:rPr>
        <w:t xml:space="preserve"> MO)</w:t>
      </w:r>
      <w:r>
        <w:rPr>
          <w:b/>
          <w:bCs/>
          <w:lang w:eastAsia="zh-CN"/>
        </w:rPr>
        <w:t>, i.e., the measurement/cell identification period resets at the end of the BWP switch.</w:t>
      </w:r>
    </w:p>
    <w:p w14:paraId="4675B419" w14:textId="77777777" w:rsidR="00882E8E" w:rsidRDefault="00882E8E" w:rsidP="00882E8E">
      <w:pPr>
        <w:pStyle w:val="Heading1"/>
        <w:numPr>
          <w:ilvl w:val="0"/>
          <w:numId w:val="0"/>
        </w:numPr>
        <w:rPr>
          <w:lang w:val="en-US"/>
        </w:rPr>
      </w:pPr>
      <w:r>
        <w:rPr>
          <w:lang w:val="en-US"/>
        </w:rPr>
        <w:t>References</w:t>
      </w:r>
    </w:p>
    <w:p w14:paraId="2C8AF80D" w14:textId="77777777" w:rsidR="00882E8E" w:rsidRDefault="00882E8E" w:rsidP="00882E8E">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52723C40" w14:textId="493C5C72" w:rsidR="005E0F92" w:rsidRDefault="005E0F92" w:rsidP="00882E8E">
      <w:pPr>
        <w:rPr>
          <w:lang w:val="en-US"/>
        </w:rPr>
      </w:pPr>
      <w:r>
        <w:rPr>
          <w:lang w:val="en-US"/>
        </w:rPr>
        <w:t>[</w:t>
      </w:r>
      <w:r w:rsidR="00F5613D">
        <w:rPr>
          <w:lang w:val="en-US"/>
        </w:rPr>
        <w:t>2</w:t>
      </w:r>
      <w:r>
        <w:rPr>
          <w:lang w:val="en-US"/>
        </w:rPr>
        <w:t>]</w:t>
      </w:r>
      <w:r w:rsidR="004202A7">
        <w:rPr>
          <w:lang w:val="en-US"/>
        </w:rPr>
        <w:t xml:space="preserve"> </w:t>
      </w:r>
      <w:r w:rsidR="004202A7" w:rsidRPr="00392D9C">
        <w:rPr>
          <w:lang w:val="en-US"/>
        </w:rPr>
        <w:t>R4-</w:t>
      </w:r>
      <w:r w:rsidR="00100C1B" w:rsidRPr="00100C1B">
        <w:rPr>
          <w:lang w:val="en-US"/>
        </w:rPr>
        <w:t>22</w:t>
      </w:r>
      <w:r w:rsidR="00030684">
        <w:rPr>
          <w:lang w:val="en-US"/>
        </w:rPr>
        <w:t>10592</w:t>
      </w:r>
      <w:r w:rsidR="004202A7">
        <w:rPr>
          <w:lang w:val="en-US"/>
        </w:rPr>
        <w:t>,</w:t>
      </w:r>
      <w:r w:rsidR="004202A7" w:rsidRPr="00392D9C">
        <w:rPr>
          <w:lang w:val="en-US"/>
        </w:rPr>
        <w:t xml:space="preserve"> </w:t>
      </w:r>
      <w:r w:rsidR="004202A7">
        <w:rPr>
          <w:lang w:val="en-US"/>
        </w:rPr>
        <w:t>“</w:t>
      </w:r>
      <w:r w:rsidR="00EF4823" w:rsidRPr="00EF4823">
        <w:rPr>
          <w:lang w:val="en-US"/>
        </w:rPr>
        <w:t>WF on RedCap RRM requirements</w:t>
      </w:r>
      <w:r w:rsidR="004202A7">
        <w:rPr>
          <w:lang w:val="en-US"/>
        </w:rPr>
        <w:t xml:space="preserve">”, </w:t>
      </w:r>
      <w:r w:rsidR="00463D50" w:rsidRPr="00463D50">
        <w:rPr>
          <w:lang w:val="en-US"/>
        </w:rPr>
        <w:t>Ericsson</w:t>
      </w:r>
      <w:r w:rsidR="004202A7">
        <w:rPr>
          <w:lang w:val="en-US"/>
        </w:rPr>
        <w:t>, RAN4#10</w:t>
      </w:r>
      <w:r w:rsidR="00BC0619">
        <w:rPr>
          <w:lang w:val="en-US"/>
        </w:rPr>
        <w:t>3</w:t>
      </w:r>
      <w:r w:rsidR="004202A7">
        <w:rPr>
          <w:lang w:val="en-US"/>
        </w:rPr>
        <w:t>e</w:t>
      </w:r>
    </w:p>
    <w:p w14:paraId="26FF4D6E" w14:textId="77777777" w:rsidR="00232CCD" w:rsidRDefault="00232CCD" w:rsidP="00DA25EC">
      <w:pPr>
        <w:rPr>
          <w:lang w:val="en-US"/>
        </w:rPr>
      </w:pPr>
    </w:p>
    <w:sectPr w:rsidR="00232CCD"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4C84" w14:textId="77777777" w:rsidR="00401CA0" w:rsidRDefault="00401CA0">
      <w:r>
        <w:separator/>
      </w:r>
    </w:p>
  </w:endnote>
  <w:endnote w:type="continuationSeparator" w:id="0">
    <w:p w14:paraId="3968DEA9" w14:textId="77777777" w:rsidR="00401CA0" w:rsidRDefault="00401CA0">
      <w:r>
        <w:continuationSeparator/>
      </w:r>
    </w:p>
  </w:endnote>
  <w:endnote w:type="continuationNotice" w:id="1">
    <w:p w14:paraId="413DD4BB" w14:textId="77777777" w:rsidR="00401CA0" w:rsidRDefault="00401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E4E9" w14:textId="77777777" w:rsidR="00401CA0" w:rsidRDefault="00401CA0">
      <w:r>
        <w:separator/>
      </w:r>
    </w:p>
  </w:footnote>
  <w:footnote w:type="continuationSeparator" w:id="0">
    <w:p w14:paraId="4A0ACC5B" w14:textId="77777777" w:rsidR="00401CA0" w:rsidRDefault="00401CA0">
      <w:r>
        <w:continuationSeparator/>
      </w:r>
    </w:p>
  </w:footnote>
  <w:footnote w:type="continuationNotice" w:id="1">
    <w:p w14:paraId="2FC592D1" w14:textId="77777777" w:rsidR="00401CA0" w:rsidRDefault="00401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1E2A"/>
    <w:multiLevelType w:val="hybridMultilevel"/>
    <w:tmpl w:val="2482F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E6D48"/>
    <w:multiLevelType w:val="hybridMultilevel"/>
    <w:tmpl w:val="745E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75470"/>
    <w:multiLevelType w:val="hybridMultilevel"/>
    <w:tmpl w:val="202EF64A"/>
    <w:lvl w:ilvl="0" w:tplc="9B0A457A">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747D82"/>
    <w:multiLevelType w:val="hybridMultilevel"/>
    <w:tmpl w:val="CE4AA5C2"/>
    <w:lvl w:ilvl="0" w:tplc="F1501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407EB"/>
    <w:multiLevelType w:val="hybridMultilevel"/>
    <w:tmpl w:val="32868620"/>
    <w:lvl w:ilvl="0" w:tplc="18A86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B74E2"/>
    <w:multiLevelType w:val="hybridMultilevel"/>
    <w:tmpl w:val="16E0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A9A3073"/>
    <w:multiLevelType w:val="hybridMultilevel"/>
    <w:tmpl w:val="D8CE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5885058">
    <w:abstractNumId w:val="15"/>
  </w:num>
  <w:num w:numId="2" w16cid:durableId="1106461138">
    <w:abstractNumId w:val="25"/>
  </w:num>
  <w:num w:numId="3" w16cid:durableId="1105542766">
    <w:abstractNumId w:val="29"/>
  </w:num>
  <w:num w:numId="4" w16cid:durableId="2123646796">
    <w:abstractNumId w:val="11"/>
  </w:num>
  <w:num w:numId="5" w16cid:durableId="66571541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648120373">
    <w:abstractNumId w:val="0"/>
  </w:num>
  <w:num w:numId="7" w16cid:durableId="481237030">
    <w:abstractNumId w:val="26"/>
  </w:num>
  <w:num w:numId="8" w16cid:durableId="1991015699">
    <w:abstractNumId w:val="13"/>
  </w:num>
  <w:num w:numId="9" w16cid:durableId="18394665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954362432">
    <w:abstractNumId w:val="12"/>
  </w:num>
  <w:num w:numId="11" w16cid:durableId="1852840748">
    <w:abstractNumId w:val="6"/>
  </w:num>
  <w:num w:numId="12" w16cid:durableId="1934701434">
    <w:abstractNumId w:val="20"/>
  </w:num>
  <w:num w:numId="13" w16cid:durableId="1204096651">
    <w:abstractNumId w:val="2"/>
  </w:num>
  <w:num w:numId="14" w16cid:durableId="1952088025">
    <w:abstractNumId w:val="21"/>
  </w:num>
  <w:num w:numId="15" w16cid:durableId="1315528410">
    <w:abstractNumId w:val="27"/>
  </w:num>
  <w:num w:numId="16" w16cid:durableId="448478655">
    <w:abstractNumId w:val="19"/>
  </w:num>
  <w:num w:numId="17" w16cid:durableId="283386863">
    <w:abstractNumId w:val="7"/>
  </w:num>
  <w:num w:numId="18" w16cid:durableId="1194919880">
    <w:abstractNumId w:val="14"/>
  </w:num>
  <w:num w:numId="19" w16cid:durableId="948582363">
    <w:abstractNumId w:val="8"/>
  </w:num>
  <w:num w:numId="20" w16cid:durableId="362629730">
    <w:abstractNumId w:val="22"/>
  </w:num>
  <w:num w:numId="21" w16cid:durableId="588587719">
    <w:abstractNumId w:val="3"/>
  </w:num>
  <w:num w:numId="22" w16cid:durableId="1464079637">
    <w:abstractNumId w:val="24"/>
  </w:num>
  <w:num w:numId="23" w16cid:durableId="1268662774">
    <w:abstractNumId w:val="23"/>
  </w:num>
  <w:num w:numId="24" w16cid:durableId="1782920534">
    <w:abstractNumId w:val="18"/>
  </w:num>
  <w:num w:numId="25" w16cid:durableId="1364984219">
    <w:abstractNumId w:val="10"/>
  </w:num>
  <w:num w:numId="26" w16cid:durableId="370611338">
    <w:abstractNumId w:val="28"/>
  </w:num>
  <w:num w:numId="27" w16cid:durableId="2079475194">
    <w:abstractNumId w:val="4"/>
  </w:num>
  <w:num w:numId="28" w16cid:durableId="1639676855">
    <w:abstractNumId w:val="16"/>
  </w:num>
  <w:num w:numId="29" w16cid:durableId="1891650651">
    <w:abstractNumId w:val="17"/>
  </w:num>
  <w:num w:numId="30" w16cid:durableId="310839631">
    <w:abstractNumId w:val="9"/>
  </w:num>
  <w:num w:numId="31" w16cid:durableId="44277288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74"/>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212"/>
    <w:rsid w:val="000123B2"/>
    <w:rsid w:val="0001245D"/>
    <w:rsid w:val="0001250F"/>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84"/>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781"/>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27A"/>
    <w:rsid w:val="00052401"/>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9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3A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007"/>
    <w:rsid w:val="00080433"/>
    <w:rsid w:val="00080990"/>
    <w:rsid w:val="00080EDD"/>
    <w:rsid w:val="0008118C"/>
    <w:rsid w:val="00081270"/>
    <w:rsid w:val="000812C8"/>
    <w:rsid w:val="0008144E"/>
    <w:rsid w:val="000818F9"/>
    <w:rsid w:val="00081957"/>
    <w:rsid w:val="00081D8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59E"/>
    <w:rsid w:val="00085AB1"/>
    <w:rsid w:val="00085C24"/>
    <w:rsid w:val="00085DB7"/>
    <w:rsid w:val="000864C4"/>
    <w:rsid w:val="00086585"/>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22B"/>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437"/>
    <w:rsid w:val="000D460D"/>
    <w:rsid w:val="000D46EE"/>
    <w:rsid w:val="000D4CE6"/>
    <w:rsid w:val="000D4E0C"/>
    <w:rsid w:val="000D4FDD"/>
    <w:rsid w:val="000D504F"/>
    <w:rsid w:val="000D5517"/>
    <w:rsid w:val="000D55E0"/>
    <w:rsid w:val="000D55E1"/>
    <w:rsid w:val="000D56DD"/>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7FB"/>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F5"/>
    <w:rsid w:val="000F57AF"/>
    <w:rsid w:val="000F57C2"/>
    <w:rsid w:val="000F5A74"/>
    <w:rsid w:val="000F5D33"/>
    <w:rsid w:val="000F63BA"/>
    <w:rsid w:val="000F694A"/>
    <w:rsid w:val="000F6AB3"/>
    <w:rsid w:val="000F6CB5"/>
    <w:rsid w:val="000F724B"/>
    <w:rsid w:val="000F72C2"/>
    <w:rsid w:val="000F7352"/>
    <w:rsid w:val="000F74FD"/>
    <w:rsid w:val="000F78E2"/>
    <w:rsid w:val="000F7C17"/>
    <w:rsid w:val="000F7EFD"/>
    <w:rsid w:val="00100A0E"/>
    <w:rsid w:val="00100B4A"/>
    <w:rsid w:val="00100C1B"/>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3F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6F4"/>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85"/>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9BB"/>
    <w:rsid w:val="00121A63"/>
    <w:rsid w:val="00121A96"/>
    <w:rsid w:val="00121BB6"/>
    <w:rsid w:val="00121D21"/>
    <w:rsid w:val="00121D3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879"/>
    <w:rsid w:val="00131E99"/>
    <w:rsid w:val="00131FD4"/>
    <w:rsid w:val="0013250C"/>
    <w:rsid w:val="00133103"/>
    <w:rsid w:val="00133156"/>
    <w:rsid w:val="0013328B"/>
    <w:rsid w:val="001340F3"/>
    <w:rsid w:val="0013441D"/>
    <w:rsid w:val="00134714"/>
    <w:rsid w:val="00134723"/>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729"/>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A0"/>
    <w:rsid w:val="001661AA"/>
    <w:rsid w:val="00166833"/>
    <w:rsid w:val="001670CA"/>
    <w:rsid w:val="001679C5"/>
    <w:rsid w:val="00167E4C"/>
    <w:rsid w:val="00167EEE"/>
    <w:rsid w:val="00167F07"/>
    <w:rsid w:val="00167F22"/>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DB2"/>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1D8"/>
    <w:rsid w:val="001E52E9"/>
    <w:rsid w:val="001E537A"/>
    <w:rsid w:val="001E57E7"/>
    <w:rsid w:val="001E584A"/>
    <w:rsid w:val="001E5958"/>
    <w:rsid w:val="001E5994"/>
    <w:rsid w:val="001E5B7F"/>
    <w:rsid w:val="001E6058"/>
    <w:rsid w:val="001E6155"/>
    <w:rsid w:val="001E61DD"/>
    <w:rsid w:val="001E657E"/>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D98"/>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A8B"/>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43C"/>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710"/>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C39"/>
    <w:rsid w:val="00232CCD"/>
    <w:rsid w:val="00232F66"/>
    <w:rsid w:val="00233355"/>
    <w:rsid w:val="00233807"/>
    <w:rsid w:val="00233907"/>
    <w:rsid w:val="002339E1"/>
    <w:rsid w:val="00234262"/>
    <w:rsid w:val="00234625"/>
    <w:rsid w:val="00234988"/>
    <w:rsid w:val="00234C5F"/>
    <w:rsid w:val="00234DDC"/>
    <w:rsid w:val="0023519B"/>
    <w:rsid w:val="0023591A"/>
    <w:rsid w:val="002359B2"/>
    <w:rsid w:val="00235CD0"/>
    <w:rsid w:val="00235D88"/>
    <w:rsid w:val="00235F0C"/>
    <w:rsid w:val="0023633E"/>
    <w:rsid w:val="00236947"/>
    <w:rsid w:val="00236A1A"/>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B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2D"/>
    <w:rsid w:val="00293F44"/>
    <w:rsid w:val="0029451A"/>
    <w:rsid w:val="00294592"/>
    <w:rsid w:val="00294860"/>
    <w:rsid w:val="0029558F"/>
    <w:rsid w:val="002955A3"/>
    <w:rsid w:val="00295815"/>
    <w:rsid w:val="00295AAC"/>
    <w:rsid w:val="002960F3"/>
    <w:rsid w:val="002968C9"/>
    <w:rsid w:val="00296A7D"/>
    <w:rsid w:val="00296B7E"/>
    <w:rsid w:val="00296BEC"/>
    <w:rsid w:val="00296FCC"/>
    <w:rsid w:val="002975C3"/>
    <w:rsid w:val="002976AF"/>
    <w:rsid w:val="00297836"/>
    <w:rsid w:val="00297B1F"/>
    <w:rsid w:val="00297B7D"/>
    <w:rsid w:val="00297C07"/>
    <w:rsid w:val="002A083B"/>
    <w:rsid w:val="002A0A35"/>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29"/>
    <w:rsid w:val="002B11FF"/>
    <w:rsid w:val="002B1579"/>
    <w:rsid w:val="002B1854"/>
    <w:rsid w:val="002B1AC9"/>
    <w:rsid w:val="002B1DD3"/>
    <w:rsid w:val="002B1E10"/>
    <w:rsid w:val="002B1E9E"/>
    <w:rsid w:val="002B1EDE"/>
    <w:rsid w:val="002B2068"/>
    <w:rsid w:val="002B2540"/>
    <w:rsid w:val="002B25CC"/>
    <w:rsid w:val="002B2C2C"/>
    <w:rsid w:val="002B2C81"/>
    <w:rsid w:val="002B3208"/>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27"/>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3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57F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8C"/>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96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8E2"/>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2D9C"/>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54F"/>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8EE"/>
    <w:rsid w:val="003C5982"/>
    <w:rsid w:val="003C5B20"/>
    <w:rsid w:val="003C5B4D"/>
    <w:rsid w:val="003C5ED8"/>
    <w:rsid w:val="003C606E"/>
    <w:rsid w:val="003C6576"/>
    <w:rsid w:val="003C6A0E"/>
    <w:rsid w:val="003C6E75"/>
    <w:rsid w:val="003C7194"/>
    <w:rsid w:val="003C75DB"/>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BEF"/>
    <w:rsid w:val="003D2C1E"/>
    <w:rsid w:val="003D2CC9"/>
    <w:rsid w:val="003D2FB3"/>
    <w:rsid w:val="003D3513"/>
    <w:rsid w:val="003D37BB"/>
    <w:rsid w:val="003D39BB"/>
    <w:rsid w:val="003D3A19"/>
    <w:rsid w:val="003D3C15"/>
    <w:rsid w:val="003D3CFD"/>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083"/>
    <w:rsid w:val="003E0BFB"/>
    <w:rsid w:val="003E0FC6"/>
    <w:rsid w:val="003E1377"/>
    <w:rsid w:val="003E16D1"/>
    <w:rsid w:val="003E1B49"/>
    <w:rsid w:val="003E2135"/>
    <w:rsid w:val="003E230F"/>
    <w:rsid w:val="003E237F"/>
    <w:rsid w:val="003E24CD"/>
    <w:rsid w:val="003E24E0"/>
    <w:rsid w:val="003E24EC"/>
    <w:rsid w:val="003E29BD"/>
    <w:rsid w:val="003E2A86"/>
    <w:rsid w:val="003E2DB4"/>
    <w:rsid w:val="003E343D"/>
    <w:rsid w:val="003E3532"/>
    <w:rsid w:val="003E38DB"/>
    <w:rsid w:val="003E3A86"/>
    <w:rsid w:val="003E3C64"/>
    <w:rsid w:val="003E3F0D"/>
    <w:rsid w:val="003E469E"/>
    <w:rsid w:val="003E4801"/>
    <w:rsid w:val="003E4B0D"/>
    <w:rsid w:val="003E5136"/>
    <w:rsid w:val="003E518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0D37"/>
    <w:rsid w:val="003F1282"/>
    <w:rsid w:val="003F13B4"/>
    <w:rsid w:val="003F1476"/>
    <w:rsid w:val="003F1A0E"/>
    <w:rsid w:val="003F1CC4"/>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3D"/>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1CA0"/>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73F"/>
    <w:rsid w:val="004048C5"/>
    <w:rsid w:val="00404A53"/>
    <w:rsid w:val="00404EBA"/>
    <w:rsid w:val="00404F8C"/>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414"/>
    <w:rsid w:val="004127F8"/>
    <w:rsid w:val="00412FB2"/>
    <w:rsid w:val="00413080"/>
    <w:rsid w:val="00413586"/>
    <w:rsid w:val="004136E7"/>
    <w:rsid w:val="0041388D"/>
    <w:rsid w:val="004139FA"/>
    <w:rsid w:val="00413F8D"/>
    <w:rsid w:val="00414536"/>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2A7"/>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4"/>
    <w:rsid w:val="0042335E"/>
    <w:rsid w:val="0042346E"/>
    <w:rsid w:val="00423FE3"/>
    <w:rsid w:val="0042408F"/>
    <w:rsid w:val="0042427E"/>
    <w:rsid w:val="0042453D"/>
    <w:rsid w:val="0042455C"/>
    <w:rsid w:val="00424A70"/>
    <w:rsid w:val="00424A83"/>
    <w:rsid w:val="00424CB3"/>
    <w:rsid w:val="00424DA2"/>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96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9D"/>
    <w:rsid w:val="00441AA1"/>
    <w:rsid w:val="00441C17"/>
    <w:rsid w:val="00441F42"/>
    <w:rsid w:val="004421D0"/>
    <w:rsid w:val="00442715"/>
    <w:rsid w:val="00442EAE"/>
    <w:rsid w:val="0044397D"/>
    <w:rsid w:val="00443A6F"/>
    <w:rsid w:val="00443B1A"/>
    <w:rsid w:val="00443D57"/>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E42"/>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50"/>
    <w:rsid w:val="00463DD0"/>
    <w:rsid w:val="004641DE"/>
    <w:rsid w:val="00464920"/>
    <w:rsid w:val="0046494B"/>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3D8"/>
    <w:rsid w:val="00485A31"/>
    <w:rsid w:val="00485D7D"/>
    <w:rsid w:val="00486067"/>
    <w:rsid w:val="004862C2"/>
    <w:rsid w:val="004862F2"/>
    <w:rsid w:val="004864F3"/>
    <w:rsid w:val="004867EC"/>
    <w:rsid w:val="00486E77"/>
    <w:rsid w:val="00487018"/>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26"/>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837"/>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131"/>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C94"/>
    <w:rsid w:val="00501D13"/>
    <w:rsid w:val="00502542"/>
    <w:rsid w:val="005028F0"/>
    <w:rsid w:val="005030E4"/>
    <w:rsid w:val="00504435"/>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2BA4"/>
    <w:rsid w:val="005231E6"/>
    <w:rsid w:val="00523465"/>
    <w:rsid w:val="0052356C"/>
    <w:rsid w:val="00523601"/>
    <w:rsid w:val="00523667"/>
    <w:rsid w:val="0052367A"/>
    <w:rsid w:val="0052393D"/>
    <w:rsid w:val="00523971"/>
    <w:rsid w:val="00523979"/>
    <w:rsid w:val="00523A1B"/>
    <w:rsid w:val="00523F8A"/>
    <w:rsid w:val="0052406A"/>
    <w:rsid w:val="00524094"/>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22B"/>
    <w:rsid w:val="00540581"/>
    <w:rsid w:val="00540742"/>
    <w:rsid w:val="005408DE"/>
    <w:rsid w:val="00540AD9"/>
    <w:rsid w:val="00540B82"/>
    <w:rsid w:val="00540D33"/>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401"/>
    <w:rsid w:val="00544791"/>
    <w:rsid w:val="005447DA"/>
    <w:rsid w:val="00544997"/>
    <w:rsid w:val="00544C59"/>
    <w:rsid w:val="00544D26"/>
    <w:rsid w:val="00544ED7"/>
    <w:rsid w:val="00544F7A"/>
    <w:rsid w:val="0054528F"/>
    <w:rsid w:val="005453F6"/>
    <w:rsid w:val="00545421"/>
    <w:rsid w:val="005455E8"/>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0F03"/>
    <w:rsid w:val="0058123B"/>
    <w:rsid w:val="005815C0"/>
    <w:rsid w:val="00581610"/>
    <w:rsid w:val="005820A9"/>
    <w:rsid w:val="005820FE"/>
    <w:rsid w:val="00582107"/>
    <w:rsid w:val="00582521"/>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180"/>
    <w:rsid w:val="005862B3"/>
    <w:rsid w:val="0058635A"/>
    <w:rsid w:val="005864A9"/>
    <w:rsid w:val="005864AD"/>
    <w:rsid w:val="005865F7"/>
    <w:rsid w:val="00586601"/>
    <w:rsid w:val="005868DE"/>
    <w:rsid w:val="00586B81"/>
    <w:rsid w:val="00586D95"/>
    <w:rsid w:val="005871F5"/>
    <w:rsid w:val="00587209"/>
    <w:rsid w:val="0058736F"/>
    <w:rsid w:val="005873E4"/>
    <w:rsid w:val="00587ABA"/>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6F"/>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B1"/>
    <w:rsid w:val="005A4FD3"/>
    <w:rsid w:val="005A5284"/>
    <w:rsid w:val="005A52E0"/>
    <w:rsid w:val="005A53E9"/>
    <w:rsid w:val="005A5467"/>
    <w:rsid w:val="005A554D"/>
    <w:rsid w:val="005A58BB"/>
    <w:rsid w:val="005A5A4C"/>
    <w:rsid w:val="005A5CD5"/>
    <w:rsid w:val="005A6358"/>
    <w:rsid w:val="005A6C62"/>
    <w:rsid w:val="005A6E60"/>
    <w:rsid w:val="005A7173"/>
    <w:rsid w:val="005A766E"/>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861"/>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49"/>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14"/>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0F92"/>
    <w:rsid w:val="005E118C"/>
    <w:rsid w:val="005E136F"/>
    <w:rsid w:val="005E1387"/>
    <w:rsid w:val="005E16BF"/>
    <w:rsid w:val="005E19B4"/>
    <w:rsid w:val="005E19CD"/>
    <w:rsid w:val="005E1E74"/>
    <w:rsid w:val="005E1EE7"/>
    <w:rsid w:val="005E217C"/>
    <w:rsid w:val="005E23F5"/>
    <w:rsid w:val="005E24B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F0C"/>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4B"/>
    <w:rsid w:val="006023BB"/>
    <w:rsid w:val="0060244F"/>
    <w:rsid w:val="006024B6"/>
    <w:rsid w:val="00602590"/>
    <w:rsid w:val="00602E14"/>
    <w:rsid w:val="00603065"/>
    <w:rsid w:val="006031F9"/>
    <w:rsid w:val="006032FB"/>
    <w:rsid w:val="0060337C"/>
    <w:rsid w:val="00603575"/>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020"/>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9E"/>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6E7E"/>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4E79"/>
    <w:rsid w:val="0066565F"/>
    <w:rsid w:val="00665702"/>
    <w:rsid w:val="006658DA"/>
    <w:rsid w:val="00665911"/>
    <w:rsid w:val="00665961"/>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0D53"/>
    <w:rsid w:val="00671001"/>
    <w:rsid w:val="006713F8"/>
    <w:rsid w:val="0067140F"/>
    <w:rsid w:val="006717A5"/>
    <w:rsid w:val="006717FA"/>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3C"/>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3FF"/>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12B"/>
    <w:rsid w:val="006B5443"/>
    <w:rsid w:val="006B54B5"/>
    <w:rsid w:val="006B568C"/>
    <w:rsid w:val="006B5806"/>
    <w:rsid w:val="006B58FD"/>
    <w:rsid w:val="006B594F"/>
    <w:rsid w:val="006B59E2"/>
    <w:rsid w:val="006B5A74"/>
    <w:rsid w:val="006B5DD2"/>
    <w:rsid w:val="006B5E4A"/>
    <w:rsid w:val="006B6699"/>
    <w:rsid w:val="006B6B42"/>
    <w:rsid w:val="006B6C65"/>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19D"/>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4E6"/>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37D"/>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20D"/>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0B1"/>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2E5"/>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074"/>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AA"/>
    <w:rsid w:val="00775E8F"/>
    <w:rsid w:val="0077603F"/>
    <w:rsid w:val="00776154"/>
    <w:rsid w:val="007763FC"/>
    <w:rsid w:val="0077663F"/>
    <w:rsid w:val="0077666B"/>
    <w:rsid w:val="007768E3"/>
    <w:rsid w:val="00776C95"/>
    <w:rsid w:val="00776F8E"/>
    <w:rsid w:val="007770FB"/>
    <w:rsid w:val="007771C3"/>
    <w:rsid w:val="007773B4"/>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211"/>
    <w:rsid w:val="00783A15"/>
    <w:rsid w:val="00784143"/>
    <w:rsid w:val="00784308"/>
    <w:rsid w:val="007843E3"/>
    <w:rsid w:val="007846C3"/>
    <w:rsid w:val="007846F4"/>
    <w:rsid w:val="00784797"/>
    <w:rsid w:val="007848DF"/>
    <w:rsid w:val="00784CB7"/>
    <w:rsid w:val="00784E03"/>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57B"/>
    <w:rsid w:val="007A065B"/>
    <w:rsid w:val="007A0FB5"/>
    <w:rsid w:val="007A1656"/>
    <w:rsid w:val="007A2174"/>
    <w:rsid w:val="007A2462"/>
    <w:rsid w:val="007A27E7"/>
    <w:rsid w:val="007A2C66"/>
    <w:rsid w:val="007A323B"/>
    <w:rsid w:val="007A340C"/>
    <w:rsid w:val="007A393B"/>
    <w:rsid w:val="007A3DED"/>
    <w:rsid w:val="007A3E9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98B"/>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AA4"/>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5FB"/>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BD3"/>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3A"/>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3CD"/>
    <w:rsid w:val="00813679"/>
    <w:rsid w:val="00813A38"/>
    <w:rsid w:val="00813C5C"/>
    <w:rsid w:val="00813F1A"/>
    <w:rsid w:val="0081404B"/>
    <w:rsid w:val="00814218"/>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47B"/>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3F80"/>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CC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703"/>
    <w:rsid w:val="008608F8"/>
    <w:rsid w:val="00860C4C"/>
    <w:rsid w:val="00860D8C"/>
    <w:rsid w:val="00861169"/>
    <w:rsid w:val="008615C0"/>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1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051"/>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E8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6896"/>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ED1"/>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35"/>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8C"/>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74F"/>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07"/>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5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7E5"/>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40"/>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F7"/>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0FF9"/>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71E"/>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39"/>
    <w:rsid w:val="00935AD4"/>
    <w:rsid w:val="0093626B"/>
    <w:rsid w:val="00936571"/>
    <w:rsid w:val="00936620"/>
    <w:rsid w:val="00936665"/>
    <w:rsid w:val="00936BAC"/>
    <w:rsid w:val="00936E29"/>
    <w:rsid w:val="00936FC1"/>
    <w:rsid w:val="009371A0"/>
    <w:rsid w:val="0093748B"/>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07"/>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9E"/>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59D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599"/>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532"/>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3FB6"/>
    <w:rsid w:val="009D4216"/>
    <w:rsid w:val="009D44C8"/>
    <w:rsid w:val="009D45CA"/>
    <w:rsid w:val="009D5378"/>
    <w:rsid w:val="009D5AEE"/>
    <w:rsid w:val="009D5BBA"/>
    <w:rsid w:val="009D5DA2"/>
    <w:rsid w:val="009D623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0D"/>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866"/>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7D"/>
    <w:rsid w:val="00A429AA"/>
    <w:rsid w:val="00A42A43"/>
    <w:rsid w:val="00A42AF1"/>
    <w:rsid w:val="00A42F6C"/>
    <w:rsid w:val="00A43127"/>
    <w:rsid w:val="00A431F8"/>
    <w:rsid w:val="00A43200"/>
    <w:rsid w:val="00A43B47"/>
    <w:rsid w:val="00A43C75"/>
    <w:rsid w:val="00A43F03"/>
    <w:rsid w:val="00A43F07"/>
    <w:rsid w:val="00A4431D"/>
    <w:rsid w:val="00A444B1"/>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BD7"/>
    <w:rsid w:val="00A61E45"/>
    <w:rsid w:val="00A61EF1"/>
    <w:rsid w:val="00A61F41"/>
    <w:rsid w:val="00A626B0"/>
    <w:rsid w:val="00A62BF6"/>
    <w:rsid w:val="00A62E3E"/>
    <w:rsid w:val="00A63193"/>
    <w:rsid w:val="00A632B9"/>
    <w:rsid w:val="00A639D5"/>
    <w:rsid w:val="00A63EAA"/>
    <w:rsid w:val="00A640BA"/>
    <w:rsid w:val="00A6468C"/>
    <w:rsid w:val="00A6476F"/>
    <w:rsid w:val="00A64946"/>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26C"/>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5F0B"/>
    <w:rsid w:val="00A76107"/>
    <w:rsid w:val="00A763C8"/>
    <w:rsid w:val="00A764F1"/>
    <w:rsid w:val="00A76714"/>
    <w:rsid w:val="00A76880"/>
    <w:rsid w:val="00A76929"/>
    <w:rsid w:val="00A7695B"/>
    <w:rsid w:val="00A76A93"/>
    <w:rsid w:val="00A77091"/>
    <w:rsid w:val="00A773A2"/>
    <w:rsid w:val="00A77761"/>
    <w:rsid w:val="00A77FCB"/>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899"/>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063"/>
    <w:rsid w:val="00AA1331"/>
    <w:rsid w:val="00AA1354"/>
    <w:rsid w:val="00AA1363"/>
    <w:rsid w:val="00AA142A"/>
    <w:rsid w:val="00AA145D"/>
    <w:rsid w:val="00AA1A24"/>
    <w:rsid w:val="00AA1CC0"/>
    <w:rsid w:val="00AA2293"/>
    <w:rsid w:val="00AA26F7"/>
    <w:rsid w:val="00AA2A27"/>
    <w:rsid w:val="00AA2C29"/>
    <w:rsid w:val="00AA33A9"/>
    <w:rsid w:val="00AA371B"/>
    <w:rsid w:val="00AA43E0"/>
    <w:rsid w:val="00AA45E7"/>
    <w:rsid w:val="00AA4705"/>
    <w:rsid w:val="00AA48F2"/>
    <w:rsid w:val="00AA490F"/>
    <w:rsid w:val="00AA4A33"/>
    <w:rsid w:val="00AA4DC2"/>
    <w:rsid w:val="00AA4E03"/>
    <w:rsid w:val="00AA539D"/>
    <w:rsid w:val="00AA5422"/>
    <w:rsid w:val="00AA596C"/>
    <w:rsid w:val="00AA619A"/>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D30"/>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0BD"/>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2F"/>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91F"/>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74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AF6"/>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3FAC"/>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F9"/>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1F4"/>
    <w:rsid w:val="00B55A47"/>
    <w:rsid w:val="00B55CDD"/>
    <w:rsid w:val="00B56138"/>
    <w:rsid w:val="00B564F9"/>
    <w:rsid w:val="00B569AF"/>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0EC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FC"/>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320"/>
    <w:rsid w:val="00BA565E"/>
    <w:rsid w:val="00BA5C4F"/>
    <w:rsid w:val="00BA5D56"/>
    <w:rsid w:val="00BA6295"/>
    <w:rsid w:val="00BA687D"/>
    <w:rsid w:val="00BA6EF3"/>
    <w:rsid w:val="00BA7BCC"/>
    <w:rsid w:val="00BA7DF4"/>
    <w:rsid w:val="00BA7F2B"/>
    <w:rsid w:val="00BB02ED"/>
    <w:rsid w:val="00BB03B5"/>
    <w:rsid w:val="00BB073C"/>
    <w:rsid w:val="00BB0BF0"/>
    <w:rsid w:val="00BB0E3E"/>
    <w:rsid w:val="00BB0F72"/>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619"/>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25"/>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62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4FFD"/>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AEF"/>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2F8A"/>
    <w:rsid w:val="00C23194"/>
    <w:rsid w:val="00C23345"/>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47E"/>
    <w:rsid w:val="00C30842"/>
    <w:rsid w:val="00C3084E"/>
    <w:rsid w:val="00C30CAE"/>
    <w:rsid w:val="00C31031"/>
    <w:rsid w:val="00C3152C"/>
    <w:rsid w:val="00C31975"/>
    <w:rsid w:val="00C31C99"/>
    <w:rsid w:val="00C31F4C"/>
    <w:rsid w:val="00C326D6"/>
    <w:rsid w:val="00C32C34"/>
    <w:rsid w:val="00C32D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BEE"/>
    <w:rsid w:val="00C44D7F"/>
    <w:rsid w:val="00C44F11"/>
    <w:rsid w:val="00C45488"/>
    <w:rsid w:val="00C45841"/>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7B5"/>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4E6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9E3"/>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085"/>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27F"/>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5B8"/>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5E5"/>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8B8"/>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AF2"/>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B3F"/>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6D9"/>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5F42"/>
    <w:rsid w:val="00D46180"/>
    <w:rsid w:val="00D462CC"/>
    <w:rsid w:val="00D4632E"/>
    <w:rsid w:val="00D4699A"/>
    <w:rsid w:val="00D46E75"/>
    <w:rsid w:val="00D4716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18B"/>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73D"/>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B70"/>
    <w:rsid w:val="00D91325"/>
    <w:rsid w:val="00D9137D"/>
    <w:rsid w:val="00D9156D"/>
    <w:rsid w:val="00D91DB5"/>
    <w:rsid w:val="00D91E8E"/>
    <w:rsid w:val="00D91F91"/>
    <w:rsid w:val="00D922B2"/>
    <w:rsid w:val="00D926B7"/>
    <w:rsid w:val="00D92F09"/>
    <w:rsid w:val="00D92F89"/>
    <w:rsid w:val="00D93142"/>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2DC"/>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4C3"/>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4564"/>
    <w:rsid w:val="00DE4668"/>
    <w:rsid w:val="00DE4CBC"/>
    <w:rsid w:val="00DE5015"/>
    <w:rsid w:val="00DE58E6"/>
    <w:rsid w:val="00DE593B"/>
    <w:rsid w:val="00DE5E71"/>
    <w:rsid w:val="00DE62E1"/>
    <w:rsid w:val="00DE6975"/>
    <w:rsid w:val="00DE699A"/>
    <w:rsid w:val="00DE6D06"/>
    <w:rsid w:val="00DE711D"/>
    <w:rsid w:val="00DE71DC"/>
    <w:rsid w:val="00DE7298"/>
    <w:rsid w:val="00DE7557"/>
    <w:rsid w:val="00DE7A2A"/>
    <w:rsid w:val="00DE7D7E"/>
    <w:rsid w:val="00DF048E"/>
    <w:rsid w:val="00DF07D7"/>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14"/>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A37"/>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304"/>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412"/>
    <w:rsid w:val="00E33A5A"/>
    <w:rsid w:val="00E33CB9"/>
    <w:rsid w:val="00E343BD"/>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AA7"/>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AFF"/>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985"/>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DA7"/>
    <w:rsid w:val="00E75EBB"/>
    <w:rsid w:val="00E75EFE"/>
    <w:rsid w:val="00E76159"/>
    <w:rsid w:val="00E762DD"/>
    <w:rsid w:val="00E76423"/>
    <w:rsid w:val="00E767F4"/>
    <w:rsid w:val="00E7685E"/>
    <w:rsid w:val="00E76B58"/>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84"/>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5CCE"/>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301"/>
    <w:rsid w:val="00EA75B5"/>
    <w:rsid w:val="00EA769D"/>
    <w:rsid w:val="00EA7C97"/>
    <w:rsid w:val="00EB00E0"/>
    <w:rsid w:val="00EB06F7"/>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3A"/>
    <w:rsid w:val="00EC0BBD"/>
    <w:rsid w:val="00EC0DED"/>
    <w:rsid w:val="00EC1635"/>
    <w:rsid w:val="00EC175B"/>
    <w:rsid w:val="00EC1857"/>
    <w:rsid w:val="00EC195B"/>
    <w:rsid w:val="00EC228A"/>
    <w:rsid w:val="00EC245A"/>
    <w:rsid w:val="00EC2594"/>
    <w:rsid w:val="00EC2B10"/>
    <w:rsid w:val="00EC2D43"/>
    <w:rsid w:val="00EC2DB6"/>
    <w:rsid w:val="00EC2E72"/>
    <w:rsid w:val="00EC30F1"/>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B1"/>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D7A77"/>
    <w:rsid w:val="00EE014F"/>
    <w:rsid w:val="00EE028A"/>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626"/>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4823"/>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533"/>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06F"/>
    <w:rsid w:val="00F364A5"/>
    <w:rsid w:val="00F3695A"/>
    <w:rsid w:val="00F36A11"/>
    <w:rsid w:val="00F36B4A"/>
    <w:rsid w:val="00F36D0D"/>
    <w:rsid w:val="00F36D83"/>
    <w:rsid w:val="00F36EEF"/>
    <w:rsid w:val="00F36F15"/>
    <w:rsid w:val="00F3722D"/>
    <w:rsid w:val="00F37426"/>
    <w:rsid w:val="00F37C25"/>
    <w:rsid w:val="00F37E36"/>
    <w:rsid w:val="00F37E85"/>
    <w:rsid w:val="00F37F79"/>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93F"/>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A1F"/>
    <w:rsid w:val="00F54C1F"/>
    <w:rsid w:val="00F54D20"/>
    <w:rsid w:val="00F54D8E"/>
    <w:rsid w:val="00F54EF6"/>
    <w:rsid w:val="00F550AE"/>
    <w:rsid w:val="00F5527F"/>
    <w:rsid w:val="00F557CF"/>
    <w:rsid w:val="00F5581A"/>
    <w:rsid w:val="00F55824"/>
    <w:rsid w:val="00F5605C"/>
    <w:rsid w:val="00F5613D"/>
    <w:rsid w:val="00F56228"/>
    <w:rsid w:val="00F566BD"/>
    <w:rsid w:val="00F569C4"/>
    <w:rsid w:val="00F56C1D"/>
    <w:rsid w:val="00F56F54"/>
    <w:rsid w:val="00F571FD"/>
    <w:rsid w:val="00F577C7"/>
    <w:rsid w:val="00F57822"/>
    <w:rsid w:val="00F60135"/>
    <w:rsid w:val="00F601AF"/>
    <w:rsid w:val="00F60377"/>
    <w:rsid w:val="00F60492"/>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2EAC"/>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39"/>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27B"/>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A38"/>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4EBD"/>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25EF"/>
    <w:rsid w:val="00FC2925"/>
    <w:rsid w:val="00FC29C1"/>
    <w:rsid w:val="00FC2CF0"/>
    <w:rsid w:val="00FC2E2E"/>
    <w:rsid w:val="00FC35AD"/>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5DC"/>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DF2"/>
    <w:rsid w:val="00FD6F8A"/>
    <w:rsid w:val="00FD7339"/>
    <w:rsid w:val="00FD75BF"/>
    <w:rsid w:val="00FD77B8"/>
    <w:rsid w:val="00FD7893"/>
    <w:rsid w:val="00FE013A"/>
    <w:rsid w:val="00FE0930"/>
    <w:rsid w:val="00FE0CF1"/>
    <w:rsid w:val="00FE130E"/>
    <w:rsid w:val="00FE1807"/>
    <w:rsid w:val="00FE191B"/>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032"/>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apple-converted-space">
    <w:name w:val="apple-converted-space"/>
    <w:basedOn w:val="DefaultParagraphFont"/>
    <w:rsid w:val="00634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908507">
      <w:bodyDiv w:val="1"/>
      <w:marLeft w:val="0"/>
      <w:marRight w:val="0"/>
      <w:marTop w:val="0"/>
      <w:marBottom w:val="0"/>
      <w:divBdr>
        <w:top w:val="none" w:sz="0" w:space="0" w:color="auto"/>
        <w:left w:val="none" w:sz="0" w:space="0" w:color="auto"/>
        <w:bottom w:val="none" w:sz="0" w:space="0" w:color="auto"/>
        <w:right w:val="none" w:sz="0" w:space="0" w:color="auto"/>
      </w:divBdr>
      <w:divsChild>
        <w:div w:id="1521696112">
          <w:marLeft w:val="619"/>
          <w:marRight w:val="0"/>
          <w:marTop w:val="0"/>
          <w:marBottom w:val="0"/>
          <w:divBdr>
            <w:top w:val="none" w:sz="0" w:space="0" w:color="auto"/>
            <w:left w:val="none" w:sz="0" w:space="0" w:color="auto"/>
            <w:bottom w:val="none" w:sz="0" w:space="0" w:color="auto"/>
            <w:right w:val="none" w:sz="0" w:space="0" w:color="auto"/>
          </w:divBdr>
        </w:div>
        <w:div w:id="1702708260">
          <w:marLeft w:val="619"/>
          <w:marRight w:val="0"/>
          <w:marTop w:val="0"/>
          <w:marBottom w:val="0"/>
          <w:divBdr>
            <w:top w:val="none" w:sz="0" w:space="0" w:color="auto"/>
            <w:left w:val="none" w:sz="0" w:space="0" w:color="auto"/>
            <w:bottom w:val="none" w:sz="0" w:space="0" w:color="auto"/>
            <w:right w:val="none" w:sz="0" w:space="0" w:color="auto"/>
          </w:divBdr>
        </w:div>
        <w:div w:id="146164923">
          <w:marLeft w:val="619"/>
          <w:marRight w:val="0"/>
          <w:marTop w:val="0"/>
          <w:marBottom w:val="0"/>
          <w:divBdr>
            <w:top w:val="none" w:sz="0" w:space="0" w:color="auto"/>
            <w:left w:val="none" w:sz="0" w:space="0" w:color="auto"/>
            <w:bottom w:val="none" w:sz="0" w:space="0" w:color="auto"/>
            <w:right w:val="none" w:sz="0" w:space="0" w:color="auto"/>
          </w:divBdr>
        </w:div>
        <w:div w:id="336730799">
          <w:marLeft w:val="619"/>
          <w:marRight w:val="0"/>
          <w:marTop w:val="0"/>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6004</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Impact of BWP switch on measurement requirements</vt:lpstr>
      <vt:lpstr>Time index detection for 1 Rx</vt:lpstr>
      <vt:lpstr>SSB based measurements for 1Rx</vt:lpstr>
      <vt:lpstr>Use of NCD-SSB for CONNECTED mode measurements</vt:lpstr>
      <vt:lpstr>Conclusion</vt:lpstr>
      <vt:lpstr>Appendix</vt:lpstr>
      <vt:lpstr>References</vt:lpstr>
    </vt:vector>
  </TitlesOfParts>
  <Company>Qualcomm</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1294</cp:revision>
  <cp:lastPrinted>2009-04-22T21:01:00Z</cp:lastPrinted>
  <dcterms:created xsi:type="dcterms:W3CDTF">2020-11-11T22:16:00Z</dcterms:created>
  <dcterms:modified xsi:type="dcterms:W3CDTF">2022-08-10T23:30:00Z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